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B925" w14:textId="2AAA9230" w:rsidR="005637AD" w:rsidRPr="005E32E3" w:rsidRDefault="005E32E3" w:rsidP="00ED3C2F">
      <w:pPr>
        <w:pStyle w:val="ListParaNoIndent"/>
        <w:spacing w:after="0"/>
        <w:jc w:val="center"/>
        <w:rPr>
          <w:b/>
          <w:u w:val="single"/>
        </w:rPr>
      </w:pPr>
      <w:r>
        <w:rPr>
          <w:b/>
          <w:i/>
          <w:iCs/>
          <w:u w:val="single"/>
        </w:rPr>
        <w:t>BATSON</w:t>
      </w:r>
    </w:p>
    <w:p w14:paraId="25256E01" w14:textId="6AE3370E" w:rsidR="006B5F86" w:rsidRPr="005E32E3" w:rsidRDefault="005E32E3" w:rsidP="00ED3C2F">
      <w:pPr>
        <w:pStyle w:val="ListParaNoIndent"/>
        <w:widowControl w:val="0"/>
        <w:numPr>
          <w:ilvl w:val="0"/>
          <w:numId w:val="18"/>
        </w:numPr>
        <w:spacing w:after="0"/>
        <w:rPr>
          <w:b/>
          <w:u w:val="single"/>
        </w:rPr>
      </w:pPr>
      <w:r>
        <w:rPr>
          <w:bCs/>
        </w:rPr>
        <w:t xml:space="preserve">Someone says the word </w:t>
      </w:r>
      <w:r>
        <w:rPr>
          <w:bCs/>
          <w:i/>
          <w:iCs/>
        </w:rPr>
        <w:t>Batson</w:t>
      </w:r>
      <w:r>
        <w:rPr>
          <w:bCs/>
        </w:rPr>
        <w:t xml:space="preserve"> during jury selection and everyone seems to sort of freeze</w:t>
      </w:r>
    </w:p>
    <w:p w14:paraId="29C4083A" w14:textId="22040A52" w:rsidR="005E32E3" w:rsidRPr="005E32E3" w:rsidRDefault="005E32E3" w:rsidP="00ED3C2F">
      <w:pPr>
        <w:pStyle w:val="ListParaNoIndent"/>
        <w:widowControl w:val="0"/>
        <w:numPr>
          <w:ilvl w:val="0"/>
          <w:numId w:val="18"/>
        </w:numPr>
        <w:spacing w:after="0"/>
        <w:rPr>
          <w:b/>
          <w:u w:val="single"/>
        </w:rPr>
      </w:pPr>
      <w:r>
        <w:rPr>
          <w:bCs/>
        </w:rPr>
        <w:t xml:space="preserve">Most of us understand that </w:t>
      </w:r>
      <w:r>
        <w:rPr>
          <w:bCs/>
          <w:i/>
          <w:iCs/>
        </w:rPr>
        <w:t>Batson</w:t>
      </w:r>
      <w:r>
        <w:rPr>
          <w:bCs/>
        </w:rPr>
        <w:t xml:space="preserve"> is an allegation of racial bias in jury selection</w:t>
      </w:r>
    </w:p>
    <w:p w14:paraId="100CAF74" w14:textId="137EE04B" w:rsidR="005E32E3" w:rsidRPr="005E32E3" w:rsidRDefault="005E32E3" w:rsidP="00ED3C2F">
      <w:pPr>
        <w:pStyle w:val="ListParaNoIndent"/>
        <w:widowControl w:val="0"/>
        <w:numPr>
          <w:ilvl w:val="0"/>
          <w:numId w:val="18"/>
        </w:numPr>
        <w:spacing w:after="0"/>
        <w:rPr>
          <w:b/>
          <w:u w:val="single"/>
        </w:rPr>
      </w:pPr>
      <w:r>
        <w:rPr>
          <w:bCs/>
        </w:rPr>
        <w:t>But how do you go through the analysis?</w:t>
      </w:r>
    </w:p>
    <w:p w14:paraId="056F5DD7" w14:textId="14F7EAD4" w:rsidR="005E32E3" w:rsidRPr="006B5F86" w:rsidRDefault="005E32E3" w:rsidP="00ED3C2F">
      <w:pPr>
        <w:pStyle w:val="ListParaNoIndent"/>
        <w:widowControl w:val="0"/>
        <w:numPr>
          <w:ilvl w:val="0"/>
          <w:numId w:val="18"/>
        </w:numPr>
        <w:spacing w:after="0"/>
        <w:rPr>
          <w:b/>
          <w:u w:val="single"/>
        </w:rPr>
      </w:pPr>
      <w:r>
        <w:rPr>
          <w:bCs/>
        </w:rPr>
        <w:t>And what do you do if you find a violation?</w:t>
      </w:r>
    </w:p>
    <w:p w14:paraId="15C72930" w14:textId="50D26933" w:rsidR="006B5F86" w:rsidRPr="006B5F86" w:rsidRDefault="005E32E3" w:rsidP="00ED3C2F">
      <w:pPr>
        <w:pStyle w:val="ListParaNoIndent"/>
        <w:widowControl w:val="0"/>
        <w:numPr>
          <w:ilvl w:val="0"/>
          <w:numId w:val="18"/>
        </w:numPr>
        <w:spacing w:after="0"/>
        <w:rPr>
          <w:b/>
          <w:u w:val="single"/>
        </w:rPr>
      </w:pPr>
      <w:r>
        <w:rPr>
          <w:bCs/>
        </w:rPr>
        <w:t>Today’s episode will hopefully answer those questions and serve as a refresher for those of us who try jury trials across Georgia.</w:t>
      </w:r>
    </w:p>
    <w:p w14:paraId="10BD3E3B" w14:textId="7FAFC936" w:rsidR="007F4B46" w:rsidRDefault="007F4B46" w:rsidP="00ED3C2F">
      <w:pPr>
        <w:pStyle w:val="ListParaNoIndent"/>
        <w:widowControl w:val="0"/>
        <w:numPr>
          <w:ilvl w:val="0"/>
          <w:numId w:val="18"/>
        </w:numPr>
        <w:spacing w:after="0"/>
        <w:rPr>
          <w:b/>
          <w:u w:val="single"/>
        </w:rPr>
      </w:pPr>
      <w:r>
        <w:rPr>
          <w:bCs/>
        </w:rPr>
        <w:t>Remember that we post written outlines of our notes on our website, GoodJudgePod.com</w:t>
      </w:r>
    </w:p>
    <w:p w14:paraId="4DE0AED5" w14:textId="0ADF3C30" w:rsidR="00A276B0" w:rsidRDefault="0099232C" w:rsidP="00ED3C2F">
      <w:pPr>
        <w:pStyle w:val="ListParaNoIndent"/>
        <w:widowControl w:val="0"/>
        <w:spacing w:after="0"/>
      </w:pPr>
      <w:r>
        <w:pict w14:anchorId="5F9439B3">
          <v:rect id="_x0000_i1025" style="width:468pt;height:1.5pt" o:hralign="center" o:hrstd="t" o:hrnoshade="t" o:hr="t" fillcolor="black [3213]" stroked="f"/>
        </w:pict>
      </w:r>
    </w:p>
    <w:p w14:paraId="3114AEE4" w14:textId="6B155933" w:rsidR="00A276B0" w:rsidRDefault="005E32E3" w:rsidP="00ED3C2F">
      <w:pPr>
        <w:pStyle w:val="ListParaNoIndent"/>
        <w:widowControl w:val="0"/>
        <w:spacing w:before="240" w:after="0"/>
        <w:jc w:val="center"/>
        <w:rPr>
          <w:b/>
          <w:bCs/>
          <w:u w:val="single"/>
        </w:rPr>
      </w:pPr>
      <w:r>
        <w:rPr>
          <w:b/>
          <w:bCs/>
          <w:i/>
          <w:iCs/>
          <w:u w:val="single"/>
        </w:rPr>
        <w:t xml:space="preserve">Batson, McCollum </w:t>
      </w:r>
      <w:r w:rsidRPr="005E32E3">
        <w:rPr>
          <w:b/>
          <w:bCs/>
          <w:u w:val="single"/>
        </w:rPr>
        <w:t>and</w:t>
      </w:r>
      <w:r>
        <w:rPr>
          <w:b/>
          <w:bCs/>
          <w:i/>
          <w:iCs/>
          <w:u w:val="single"/>
        </w:rPr>
        <w:t xml:space="preserve"> Edmonson </w:t>
      </w:r>
      <w:r w:rsidRPr="005E32E3">
        <w:rPr>
          <w:b/>
          <w:bCs/>
          <w:u w:val="single"/>
        </w:rPr>
        <w:t>GENERALLY</w:t>
      </w:r>
    </w:p>
    <w:p w14:paraId="2D0BFBF1" w14:textId="6971FCB6" w:rsidR="005E32E3" w:rsidRPr="005E32E3" w:rsidRDefault="005E32E3" w:rsidP="005E32E3">
      <w:pPr>
        <w:pStyle w:val="ListParaNoIndent"/>
        <w:widowControl w:val="0"/>
        <w:numPr>
          <w:ilvl w:val="0"/>
          <w:numId w:val="18"/>
        </w:numPr>
        <w:spacing w:after="0"/>
        <w:rPr>
          <w:i/>
          <w:iCs/>
        </w:rPr>
      </w:pPr>
      <w:r>
        <w:rPr>
          <w:i/>
          <w:iCs/>
        </w:rPr>
        <w:t>Batson v. Kentucky</w:t>
      </w:r>
      <w:r w:rsidR="000B0C5F">
        <w:rPr>
          <w:rStyle w:val="EndnoteReference"/>
          <w:i/>
          <w:iCs/>
        </w:rPr>
        <w:endnoteReference w:id="1"/>
      </w:r>
      <w:r>
        <w:t xml:space="preserve"> was the seminal case that almost everyone references when they allege racial bias in jury selection</w:t>
      </w:r>
    </w:p>
    <w:p w14:paraId="635D809B" w14:textId="18942653" w:rsidR="005E32E3" w:rsidRPr="000B0C5F" w:rsidRDefault="000B0C5F" w:rsidP="005E32E3">
      <w:pPr>
        <w:pStyle w:val="ListParaNoIndent"/>
        <w:widowControl w:val="0"/>
        <w:numPr>
          <w:ilvl w:val="1"/>
          <w:numId w:val="18"/>
        </w:numPr>
        <w:spacing w:after="0"/>
        <w:rPr>
          <w:i/>
          <w:iCs/>
        </w:rPr>
      </w:pPr>
      <w:r>
        <w:t xml:space="preserve">If the prosecutor raises the issue, it is referred to as a </w:t>
      </w:r>
      <w:r>
        <w:rPr>
          <w:i/>
          <w:iCs/>
        </w:rPr>
        <w:t>McCollum</w:t>
      </w:r>
      <w:r>
        <w:t xml:space="preserve"> motion</w:t>
      </w:r>
      <w:r>
        <w:rPr>
          <w:rStyle w:val="EndnoteReference"/>
        </w:rPr>
        <w:endnoteReference w:id="2"/>
      </w:r>
      <w:r>
        <w:t xml:space="preserve"> but occasionally you will hear someone refer to a motion by the prosecutor as a “reverse </w:t>
      </w:r>
      <w:r>
        <w:rPr>
          <w:i/>
          <w:iCs/>
        </w:rPr>
        <w:t>Batson</w:t>
      </w:r>
      <w:r w:rsidR="00792E92">
        <w:t>” motion</w:t>
      </w:r>
    </w:p>
    <w:p w14:paraId="13C55493" w14:textId="068F094F" w:rsidR="000B0C5F" w:rsidRPr="00792E92" w:rsidRDefault="000B0C5F" w:rsidP="005E32E3">
      <w:pPr>
        <w:pStyle w:val="ListParaNoIndent"/>
        <w:widowControl w:val="0"/>
        <w:numPr>
          <w:ilvl w:val="1"/>
          <w:numId w:val="18"/>
        </w:numPr>
        <w:spacing w:after="0"/>
        <w:rPr>
          <w:i/>
          <w:iCs/>
        </w:rPr>
      </w:pPr>
      <w:r>
        <w:t xml:space="preserve">If the issue arises in a civil trial, it is referred to as a </w:t>
      </w:r>
      <w:r>
        <w:rPr>
          <w:i/>
          <w:iCs/>
        </w:rPr>
        <w:t>Edmonson</w:t>
      </w:r>
      <w:r>
        <w:t xml:space="preserve"> motion</w:t>
      </w:r>
      <w:r>
        <w:rPr>
          <w:rStyle w:val="EndnoteReference"/>
        </w:rPr>
        <w:endnoteReference w:id="3"/>
      </w:r>
    </w:p>
    <w:p w14:paraId="3864D64B" w14:textId="451B072D" w:rsidR="00792E92" w:rsidRPr="00A02BEE" w:rsidRDefault="00792E92" w:rsidP="00792E92">
      <w:pPr>
        <w:pStyle w:val="ListParaNoIndent"/>
        <w:widowControl w:val="0"/>
        <w:numPr>
          <w:ilvl w:val="0"/>
          <w:numId w:val="18"/>
        </w:numPr>
        <w:spacing w:after="0"/>
        <w:rPr>
          <w:i/>
          <w:iCs/>
        </w:rPr>
      </w:pPr>
      <w:r>
        <w:lastRenderedPageBreak/>
        <w:t>While these cases usually are focused on racial bias, both the US Supreme Court and the Ga Supreme Court have recognized that parties are also prohibited from exercising gender bias during jury selection.</w:t>
      </w:r>
      <w:r>
        <w:rPr>
          <w:rStyle w:val="EndnoteReference"/>
        </w:rPr>
        <w:endnoteReference w:id="4"/>
      </w:r>
    </w:p>
    <w:p w14:paraId="38EF31E0" w14:textId="21F66EED" w:rsidR="00A02BEE" w:rsidRPr="00E21780" w:rsidRDefault="00A02BEE" w:rsidP="00792E92">
      <w:pPr>
        <w:pStyle w:val="ListParaNoIndent"/>
        <w:widowControl w:val="0"/>
        <w:numPr>
          <w:ilvl w:val="0"/>
          <w:numId w:val="18"/>
        </w:numPr>
        <w:spacing w:after="0"/>
        <w:rPr>
          <w:i/>
          <w:iCs/>
        </w:rPr>
      </w:pPr>
      <w:r>
        <w:t>“</w:t>
      </w:r>
      <w:r w:rsidRPr="000366EC">
        <w:t xml:space="preserve">Although the United States Supreme Court has extended its holding in </w:t>
      </w:r>
      <w:r w:rsidRPr="000366EC">
        <w:rPr>
          <w:i/>
        </w:rPr>
        <w:t>Batson</w:t>
      </w:r>
      <w:r w:rsidRPr="000366EC">
        <w:t xml:space="preserve"> to instances where peremptory strikes are exercised </w:t>
      </w:r>
      <w:r>
        <w:t>solely on the basis of gender,</w:t>
      </w:r>
      <w:r w:rsidRPr="000366EC">
        <w:t xml:space="preserve"> </w:t>
      </w:r>
      <w:r w:rsidRPr="000366EC">
        <w:rPr>
          <w:i/>
        </w:rPr>
        <w:t>Batson</w:t>
      </w:r>
      <w:r w:rsidRPr="000366EC">
        <w:t xml:space="preserve"> has not been extended to strikes based on </w:t>
      </w:r>
      <w:r w:rsidRPr="00A02BEE">
        <w:rPr>
          <w:b/>
          <w:bCs/>
          <w:i/>
          <w:iCs/>
        </w:rPr>
        <w:t>national origin</w:t>
      </w:r>
      <w:r w:rsidRPr="000366EC">
        <w:t>.</w:t>
      </w:r>
      <w:r>
        <w:t>”</w:t>
      </w:r>
      <w:r>
        <w:rPr>
          <w:rStyle w:val="EndnoteReference"/>
        </w:rPr>
        <w:endnoteReference w:id="5"/>
      </w:r>
    </w:p>
    <w:p w14:paraId="060A336C" w14:textId="29C04A65" w:rsidR="00E21780" w:rsidRPr="00792E92" w:rsidRDefault="00E21780" w:rsidP="00792E92">
      <w:pPr>
        <w:pStyle w:val="ListParaNoIndent"/>
        <w:widowControl w:val="0"/>
        <w:numPr>
          <w:ilvl w:val="0"/>
          <w:numId w:val="18"/>
        </w:numPr>
        <w:spacing w:after="0"/>
        <w:rPr>
          <w:i/>
          <w:iCs/>
        </w:rPr>
      </w:pPr>
      <w:r>
        <w:t>Just for sake of clarity, one of these motions are objections to the peremptory challenges the other party made to potential jurors and it suggests that the other party’s challenges were based upon racial/gender bias</w:t>
      </w:r>
      <w:r w:rsidR="004E21DF">
        <w:t>.</w:t>
      </w:r>
    </w:p>
    <w:p w14:paraId="5376D844" w14:textId="6B9532B7" w:rsidR="00E53940" w:rsidRPr="00E53940" w:rsidRDefault="00792E92" w:rsidP="00E53940">
      <w:pPr>
        <w:pStyle w:val="ListParaNoIndent"/>
        <w:widowControl w:val="0"/>
        <w:numPr>
          <w:ilvl w:val="0"/>
          <w:numId w:val="18"/>
        </w:numPr>
        <w:spacing w:after="0"/>
        <w:rPr>
          <w:i/>
          <w:iCs/>
        </w:rPr>
      </w:pPr>
      <w:r>
        <w:t>During this episode, we will refer to race as the issue being objected to but understand that the same rules apply to alleged gender bias</w:t>
      </w:r>
      <w:r w:rsidR="00E53940">
        <w:rPr>
          <w:rStyle w:val="EndnoteReference"/>
        </w:rPr>
        <w:endnoteReference w:id="6"/>
      </w:r>
    </w:p>
    <w:p w14:paraId="530FAD6D" w14:textId="77777777" w:rsidR="00B74F71" w:rsidRPr="003752CC" w:rsidRDefault="0099232C" w:rsidP="00ED3C2F">
      <w:pPr>
        <w:pStyle w:val="ListParaNoIndent"/>
        <w:widowControl w:val="0"/>
        <w:spacing w:after="0"/>
        <w:rPr>
          <w:b/>
        </w:rPr>
      </w:pPr>
      <w:r>
        <w:pict w14:anchorId="45B8180C">
          <v:rect id="_x0000_i1026" style="width:468pt;height:1.5pt" o:hralign="center" o:hrstd="t" o:hrnoshade="t" o:hr="t" fillcolor="black [3213]" stroked="f"/>
        </w:pict>
      </w:r>
    </w:p>
    <w:p w14:paraId="2E37D22F" w14:textId="5485135C" w:rsidR="00F70E70" w:rsidRDefault="00A02BEE" w:rsidP="00ED3C2F">
      <w:pPr>
        <w:pStyle w:val="ListParaNoIndent"/>
        <w:widowControl w:val="0"/>
        <w:spacing w:before="240" w:after="0"/>
        <w:jc w:val="center"/>
        <w:rPr>
          <w:b/>
          <w:u w:val="single"/>
        </w:rPr>
      </w:pPr>
      <w:r>
        <w:rPr>
          <w:b/>
          <w:u w:val="single"/>
        </w:rPr>
        <w:t>TIMING OF OBJECTION</w:t>
      </w:r>
    </w:p>
    <w:p w14:paraId="774A95EF" w14:textId="6856011D" w:rsidR="00A02BEE" w:rsidRPr="00A02BEE" w:rsidRDefault="00A02BEE" w:rsidP="00A02BEE">
      <w:pPr>
        <w:pStyle w:val="ListParaNoIndent"/>
        <w:widowControl w:val="0"/>
        <w:numPr>
          <w:ilvl w:val="0"/>
          <w:numId w:val="18"/>
        </w:numPr>
        <w:spacing w:after="0"/>
        <w:rPr>
          <w:b/>
          <w:u w:val="single"/>
        </w:rPr>
      </w:pPr>
      <w:r>
        <w:rPr>
          <w:bCs/>
        </w:rPr>
        <w:t>In a jury trial, motion must be made before jury is sworn</w:t>
      </w:r>
      <w:r>
        <w:rPr>
          <w:rStyle w:val="EndnoteReference"/>
        </w:rPr>
        <w:endnoteReference w:id="7"/>
      </w:r>
    </w:p>
    <w:p w14:paraId="205360BE" w14:textId="3E44FC92" w:rsidR="00A02BEE" w:rsidRPr="009E51C4" w:rsidRDefault="00A02BEE" w:rsidP="00A02BEE">
      <w:pPr>
        <w:pStyle w:val="ListParaNoIndent"/>
        <w:widowControl w:val="0"/>
        <w:numPr>
          <w:ilvl w:val="0"/>
          <w:numId w:val="18"/>
        </w:numPr>
        <w:spacing w:after="0"/>
        <w:rPr>
          <w:b/>
          <w:u w:val="single"/>
        </w:rPr>
      </w:pPr>
      <w:r>
        <w:rPr>
          <w:bCs/>
        </w:rPr>
        <w:t>But in a civil trial, the jury is not sworn (</w:t>
      </w:r>
      <w:r w:rsidR="00E53940">
        <w:rPr>
          <w:bCs/>
        </w:rPr>
        <w:t xml:space="preserve">discuss </w:t>
      </w:r>
      <w:r>
        <w:rPr>
          <w:bCs/>
        </w:rPr>
        <w:t>differences between Wade and Tain)</w:t>
      </w:r>
    </w:p>
    <w:p w14:paraId="34F7EAC3" w14:textId="48FBFF82" w:rsidR="009E51C4" w:rsidRPr="009E51C4" w:rsidRDefault="009E51C4" w:rsidP="00A02BEE">
      <w:pPr>
        <w:pStyle w:val="ListParaNoIndent"/>
        <w:widowControl w:val="0"/>
        <w:numPr>
          <w:ilvl w:val="0"/>
          <w:numId w:val="18"/>
        </w:numPr>
        <w:spacing w:after="0"/>
        <w:rPr>
          <w:b/>
          <w:u w:val="single"/>
        </w:rPr>
      </w:pPr>
      <w:r>
        <w:rPr>
          <w:bCs/>
        </w:rPr>
        <w:t>The cases say that “logic dictates that such a challenge should be raised at a time when opportunity exists to correct any possible violation”</w:t>
      </w:r>
      <w:r>
        <w:rPr>
          <w:rStyle w:val="EndnoteReference"/>
          <w:bCs/>
        </w:rPr>
        <w:endnoteReference w:id="8"/>
      </w:r>
    </w:p>
    <w:p w14:paraId="0685FEF6" w14:textId="277A0134" w:rsidR="009E51C4" w:rsidRDefault="009E51C4" w:rsidP="00A02BEE">
      <w:pPr>
        <w:pStyle w:val="ListParaNoIndent"/>
        <w:widowControl w:val="0"/>
        <w:numPr>
          <w:ilvl w:val="0"/>
          <w:numId w:val="18"/>
        </w:numPr>
        <w:spacing w:after="0"/>
        <w:rPr>
          <w:b/>
          <w:u w:val="single"/>
        </w:rPr>
      </w:pPr>
      <w:r>
        <w:rPr>
          <w:b/>
        </w:rPr>
        <w:t>PRACTICE POINT:</w:t>
      </w:r>
      <w:r>
        <w:rPr>
          <w:bCs/>
        </w:rPr>
        <w:t xml:space="preserve"> I usually delay swearing jury until after lunch or some </w:t>
      </w:r>
      <w:r>
        <w:rPr>
          <w:bCs/>
        </w:rPr>
        <w:lastRenderedPageBreak/>
        <w:t xml:space="preserve">other logical break point just in case there is a problem with witnesses, etc. because jeopardy attaches when jury is sworn.  But some recent cases say that any time before jury is sworn, a </w:t>
      </w:r>
      <w:r>
        <w:rPr>
          <w:bCs/>
          <w:i/>
          <w:iCs/>
        </w:rPr>
        <w:t>Batson</w:t>
      </w:r>
      <w:r>
        <w:rPr>
          <w:bCs/>
        </w:rPr>
        <w:t xml:space="preserve"> motion can be made. Hmmm…</w:t>
      </w:r>
    </w:p>
    <w:p w14:paraId="1F5A088D" w14:textId="139CBBC5" w:rsidR="00A02BEE" w:rsidRPr="00A02BEE" w:rsidRDefault="00A02BEE" w:rsidP="00A02BEE">
      <w:pPr>
        <w:pStyle w:val="ListParaNoIndent"/>
        <w:widowControl w:val="0"/>
        <w:spacing w:before="240" w:after="0"/>
        <w:rPr>
          <w:b/>
        </w:rPr>
      </w:pPr>
      <w:r>
        <w:pict w14:anchorId="5C8273AE">
          <v:rect id="_x0000_i1085" style="width:468pt;height:1.5pt" o:hralign="center" o:hrstd="t" o:hrnoshade="t" o:hr="t" fillcolor="black [3213]" stroked="f"/>
        </w:pict>
      </w:r>
    </w:p>
    <w:p w14:paraId="38EBD95B" w14:textId="645A112E" w:rsidR="005F0C81" w:rsidRPr="005F0C81" w:rsidRDefault="005F0C81" w:rsidP="005F0C81">
      <w:pPr>
        <w:pStyle w:val="ListParaNoIndent"/>
        <w:widowControl w:val="0"/>
        <w:spacing w:after="0"/>
        <w:jc w:val="center"/>
      </w:pPr>
      <w:r>
        <w:rPr>
          <w:b/>
          <w:bCs/>
          <w:u w:val="single"/>
        </w:rPr>
        <w:t>PERFECTING THE RECORD</w:t>
      </w:r>
    </w:p>
    <w:p w14:paraId="0D4FBCA9" w14:textId="77777777" w:rsidR="005F0C81" w:rsidRDefault="005F0C81" w:rsidP="005F0C81">
      <w:pPr>
        <w:pStyle w:val="ListParaNoIndent"/>
        <w:widowControl w:val="0"/>
        <w:numPr>
          <w:ilvl w:val="0"/>
          <w:numId w:val="18"/>
        </w:numPr>
        <w:spacing w:after="0"/>
      </w:pPr>
      <w:r>
        <w:t>The burden is on the party making the objection to “complete the record” including information revealing the racial composition of the panel, the racial breakdown of the strikes exercised by both parties and the racial composition of the resulting jury.</w:t>
      </w:r>
    </w:p>
    <w:p w14:paraId="4B9405AF" w14:textId="39F2EA8E" w:rsidR="005F0C81" w:rsidRPr="005F0C81" w:rsidRDefault="005F0C81" w:rsidP="005F0C81">
      <w:pPr>
        <w:pStyle w:val="ListParaNoIndent"/>
        <w:widowControl w:val="0"/>
        <w:numPr>
          <w:ilvl w:val="0"/>
          <w:numId w:val="18"/>
        </w:numPr>
        <w:spacing w:after="0"/>
      </w:pPr>
      <w:r w:rsidRPr="005F0C81">
        <w:rPr>
          <w:bCs/>
        </w:rPr>
        <w:t>“Colloquies between court and counsel and argument of counsel, though included in the record, are not competent evidence of the facts observed therein, and do not suffice to make a proper record of facts required to establish a prima facie case of discrimination.”</w:t>
      </w:r>
      <w:r>
        <w:rPr>
          <w:rStyle w:val="EndnoteReference"/>
          <w:bCs/>
        </w:rPr>
        <w:endnoteReference w:id="9"/>
      </w:r>
      <w:r w:rsidRPr="005F0C81">
        <w:rPr>
          <w:bCs/>
        </w:rPr>
        <w:t xml:space="preserve">  </w:t>
      </w:r>
    </w:p>
    <w:p w14:paraId="371D291F" w14:textId="04E99513" w:rsidR="005F0C81" w:rsidRPr="00AF5581" w:rsidRDefault="005F0C81" w:rsidP="005F0C81">
      <w:pPr>
        <w:pStyle w:val="ListParaNoIndent"/>
        <w:widowControl w:val="0"/>
        <w:numPr>
          <w:ilvl w:val="1"/>
          <w:numId w:val="18"/>
        </w:numPr>
        <w:spacing w:after="0"/>
      </w:pPr>
      <w:r>
        <w:rPr>
          <w:bCs/>
        </w:rPr>
        <w:t>In a recent order on a motion for new trial, I wrote: “</w:t>
      </w:r>
      <w:r w:rsidRPr="005F0C81">
        <w:rPr>
          <w:bCs/>
        </w:rPr>
        <w:t>The Court is unclear what other manner would be utilized to create a factual record of the racial makeup of the venire panel and the race of those jurors who were stricken by the parties.</w:t>
      </w:r>
      <w:r>
        <w:rPr>
          <w:bCs/>
        </w:rPr>
        <w:t>”</w:t>
      </w:r>
    </w:p>
    <w:p w14:paraId="40A6C46F" w14:textId="3281BB05" w:rsidR="00AF5581" w:rsidRPr="004E21DF" w:rsidRDefault="00AF5581" w:rsidP="009F186E">
      <w:pPr>
        <w:pStyle w:val="ListParaNoIndent"/>
        <w:widowControl w:val="0"/>
        <w:numPr>
          <w:ilvl w:val="2"/>
          <w:numId w:val="18"/>
        </w:numPr>
        <w:spacing w:before="240" w:after="0"/>
        <w:rPr>
          <w:b/>
          <w:u w:val="single"/>
        </w:rPr>
      </w:pPr>
      <w:r w:rsidRPr="004E21DF">
        <w:rPr>
          <w:bCs/>
        </w:rPr>
        <w:t xml:space="preserve">[I would really like to receive any input from other judges or lawyers </w:t>
      </w:r>
      <w:r w:rsidRPr="004E21DF">
        <w:rPr>
          <w:bCs/>
        </w:rPr>
        <w:lastRenderedPageBreak/>
        <w:t>what other way the record could be perfected on these issues]</w:t>
      </w:r>
    </w:p>
    <w:p w14:paraId="049715EF" w14:textId="70887064" w:rsidR="005F0C81" w:rsidRDefault="005F0C81" w:rsidP="005F0C81">
      <w:pPr>
        <w:pStyle w:val="ListParaNoIndent"/>
        <w:widowControl w:val="0"/>
        <w:spacing w:before="240" w:after="0"/>
        <w:rPr>
          <w:b/>
          <w:u w:val="single"/>
        </w:rPr>
      </w:pPr>
      <w:r>
        <w:pict w14:anchorId="5D2506F3">
          <v:rect id="_x0000_i1086" style="width:468pt;height:1.5pt" o:hralign="center" o:hrstd="t" o:hrnoshade="t" o:hr="t" fillcolor="black [3213]" stroked="f"/>
        </w:pict>
      </w:r>
    </w:p>
    <w:p w14:paraId="67F8EAE1" w14:textId="0E5AC714" w:rsidR="002C4C10" w:rsidRDefault="00E53940" w:rsidP="00ED3C2F">
      <w:pPr>
        <w:pStyle w:val="ListParaNoIndent"/>
        <w:widowControl w:val="0"/>
        <w:spacing w:before="240" w:after="0"/>
        <w:jc w:val="center"/>
        <w:rPr>
          <w:b/>
          <w:u w:val="single"/>
        </w:rPr>
      </w:pPr>
      <w:r>
        <w:rPr>
          <w:b/>
          <w:u w:val="single"/>
        </w:rPr>
        <w:t>HOW A CHALLENGE IS MADE</w:t>
      </w:r>
    </w:p>
    <w:p w14:paraId="2659374B" w14:textId="23A643D6" w:rsidR="00AC0D29" w:rsidRDefault="00AC0D29" w:rsidP="00AC0D29">
      <w:pPr>
        <w:pStyle w:val="ListParaNoIndent"/>
        <w:widowControl w:val="0"/>
        <w:numPr>
          <w:ilvl w:val="0"/>
          <w:numId w:val="18"/>
        </w:numPr>
        <w:spacing w:after="0"/>
      </w:pPr>
      <w:r>
        <w:t>Regardless of whether it is a civil or criminal case and regardless of which party is making the objection, following process must be followed:</w:t>
      </w:r>
    </w:p>
    <w:p w14:paraId="23D8A65C" w14:textId="77777777" w:rsidR="00AC0D29" w:rsidRDefault="00AC0D29" w:rsidP="00AC0D29">
      <w:pPr>
        <w:pStyle w:val="ListParaNoIndent"/>
        <w:widowControl w:val="0"/>
        <w:numPr>
          <w:ilvl w:val="0"/>
          <w:numId w:val="18"/>
        </w:numPr>
        <w:spacing w:after="0"/>
      </w:pPr>
      <w:r>
        <w:t xml:space="preserve">A </w:t>
      </w:r>
      <w:r w:rsidRPr="002A5305">
        <w:rPr>
          <w:b/>
          <w:bCs/>
          <w:i/>
          <w:iCs/>
        </w:rPr>
        <w:t>three-step</w:t>
      </w:r>
      <w:r>
        <w:t xml:space="preserve"> process must be used. The opponent of a peremptory challenge must: </w:t>
      </w:r>
    </w:p>
    <w:p w14:paraId="4972E054" w14:textId="41E750B9" w:rsidR="00AC0D29" w:rsidRDefault="00AC0D29" w:rsidP="00AF5581">
      <w:pPr>
        <w:pStyle w:val="ListParaNoIndent"/>
        <w:widowControl w:val="0"/>
        <w:numPr>
          <w:ilvl w:val="1"/>
          <w:numId w:val="18"/>
        </w:numPr>
        <w:spacing w:after="0"/>
      </w:pPr>
      <w:r>
        <w:t>first make a prima facie showing of racial discrimination;</w:t>
      </w:r>
      <w:r>
        <w:rPr>
          <w:rStyle w:val="EndnoteReference"/>
        </w:rPr>
        <w:endnoteReference w:id="10"/>
      </w:r>
      <w:r>
        <w:t xml:space="preserve"> </w:t>
      </w:r>
    </w:p>
    <w:p w14:paraId="5D946705" w14:textId="449538FD" w:rsidR="00AC0D29" w:rsidRDefault="00AC0D29" w:rsidP="00AF5581">
      <w:pPr>
        <w:pStyle w:val="ListParaNoIndent"/>
        <w:widowControl w:val="0"/>
        <w:numPr>
          <w:ilvl w:val="1"/>
          <w:numId w:val="18"/>
        </w:numPr>
        <w:spacing w:after="0"/>
      </w:pPr>
      <w:r>
        <w:t xml:space="preserve">the burden of production then shifts to the proponent of the strike to give a race-neutral reason for the strike (considering the totality of the circumstances); and </w:t>
      </w:r>
    </w:p>
    <w:p w14:paraId="3C853ACA" w14:textId="46C84C1A" w:rsidR="00AC0D29" w:rsidRDefault="00AC0D29" w:rsidP="00AF5581">
      <w:pPr>
        <w:pStyle w:val="ListParaNoIndent"/>
        <w:widowControl w:val="0"/>
        <w:numPr>
          <w:ilvl w:val="1"/>
          <w:numId w:val="18"/>
        </w:numPr>
        <w:spacing w:after="0"/>
      </w:pPr>
      <w:r>
        <w:t>the trial court then decides whether the opponent of the strike has proven discriminatory intent.</w:t>
      </w:r>
      <w:r>
        <w:rPr>
          <w:rStyle w:val="EndnoteReference"/>
        </w:rPr>
        <w:endnoteReference w:id="11"/>
      </w:r>
    </w:p>
    <w:p w14:paraId="20651480" w14:textId="10C2E6F2" w:rsidR="00AC0D29" w:rsidRDefault="00AF5581" w:rsidP="00161C4D">
      <w:pPr>
        <w:pStyle w:val="ListParaNoIndent"/>
        <w:widowControl w:val="0"/>
        <w:numPr>
          <w:ilvl w:val="0"/>
          <w:numId w:val="18"/>
        </w:numPr>
        <w:spacing w:after="0"/>
      </w:pPr>
      <w:r>
        <w:t>The appellate courts routinely refer to the “first step” or “second step” in their decisions so it is important that we follow this formula in deciding the issues</w:t>
      </w:r>
    </w:p>
    <w:p w14:paraId="6F338F12" w14:textId="3008AC09" w:rsidR="00E21780" w:rsidRDefault="00842066" w:rsidP="009B5960">
      <w:pPr>
        <w:pStyle w:val="ListParaNoIndent"/>
        <w:widowControl w:val="0"/>
        <w:numPr>
          <w:ilvl w:val="0"/>
          <w:numId w:val="18"/>
        </w:numPr>
        <w:spacing w:after="0"/>
      </w:pPr>
      <w:r>
        <w:t>The ultimate burden of persuasion regarding racial or gender motivation rests with, and never shifts from, the opponent of the strike.</w:t>
      </w:r>
      <w:r>
        <w:rPr>
          <w:rStyle w:val="EndnoteReference"/>
        </w:rPr>
        <w:endnoteReference w:id="12"/>
      </w:r>
      <w:r>
        <w:t xml:space="preserve"> </w:t>
      </w:r>
    </w:p>
    <w:p w14:paraId="57BCAFB5" w14:textId="77777777" w:rsidR="002A5305" w:rsidRDefault="002A5305" w:rsidP="002A5305">
      <w:pPr>
        <w:pStyle w:val="ListParaNoIndent"/>
        <w:widowControl w:val="0"/>
        <w:spacing w:after="0"/>
      </w:pPr>
    </w:p>
    <w:p w14:paraId="126B618B" w14:textId="219D08BE" w:rsidR="00872C28" w:rsidRDefault="00872C28" w:rsidP="00ED3C2F">
      <w:pPr>
        <w:pStyle w:val="ListParaNoIndent"/>
        <w:widowControl w:val="0"/>
        <w:spacing w:after="0"/>
      </w:pPr>
      <w:r>
        <w:lastRenderedPageBreak/>
        <w:pict w14:anchorId="5A616822">
          <v:rect id="_x0000_i1049" style="width:468pt;height:1.5pt" o:hralign="center" o:hrstd="t" o:hrnoshade="t" o:hr="t" fillcolor="black [3213]" stroked="f"/>
        </w:pict>
      </w:r>
    </w:p>
    <w:p w14:paraId="54842EB4" w14:textId="2C5077D4" w:rsidR="00872C28" w:rsidRDefault="00842066" w:rsidP="00ED3C2F">
      <w:pPr>
        <w:pStyle w:val="ListParaNoIndent"/>
        <w:widowControl w:val="0"/>
        <w:spacing w:after="0"/>
        <w:jc w:val="center"/>
        <w:rPr>
          <w:b/>
          <w:u w:val="single"/>
        </w:rPr>
      </w:pPr>
      <w:r>
        <w:rPr>
          <w:b/>
          <w:u w:val="single"/>
        </w:rPr>
        <w:t>STEP 1 OF THE ANALYSIS</w:t>
      </w:r>
    </w:p>
    <w:p w14:paraId="2611C22E" w14:textId="4956CCAA" w:rsidR="00842066" w:rsidRDefault="00E21780" w:rsidP="00ED3C2F">
      <w:pPr>
        <w:pStyle w:val="ListParaNoIndent"/>
        <w:widowControl w:val="0"/>
        <w:spacing w:after="0"/>
        <w:jc w:val="center"/>
        <w:rPr>
          <w:b/>
          <w:u w:val="single"/>
        </w:rPr>
      </w:pPr>
      <w:r>
        <w:rPr>
          <w:b/>
          <w:u w:val="single"/>
        </w:rPr>
        <w:t>(MAKING A PRIMA FACIE CASE)</w:t>
      </w:r>
    </w:p>
    <w:p w14:paraId="270C1EF6" w14:textId="63D001A3" w:rsidR="00872C28" w:rsidRDefault="00842066" w:rsidP="00ED3C2F">
      <w:pPr>
        <w:pStyle w:val="ListParaNoIndent"/>
        <w:widowControl w:val="0"/>
        <w:numPr>
          <w:ilvl w:val="0"/>
          <w:numId w:val="18"/>
        </w:numPr>
        <w:spacing w:after="0"/>
      </w:pPr>
      <w:r>
        <w:t>Most lawyers simply rely upon the numbers in attempting to satisfy this first step of the analysis</w:t>
      </w:r>
    </w:p>
    <w:p w14:paraId="3DDBBE0E" w14:textId="4F5705F8" w:rsidR="00842066" w:rsidRDefault="00842066" w:rsidP="00842066">
      <w:pPr>
        <w:pStyle w:val="ListParaNoIndent"/>
        <w:widowControl w:val="0"/>
        <w:numPr>
          <w:ilvl w:val="1"/>
          <w:numId w:val="18"/>
        </w:numPr>
        <w:spacing w:after="0"/>
      </w:pPr>
      <w:r>
        <w:t>i.e. the venire panel had 50% African Americans and the resulting petit jury only has 25% African American members</w:t>
      </w:r>
    </w:p>
    <w:p w14:paraId="588CCAE4" w14:textId="440BD92A" w:rsidR="00842066" w:rsidRDefault="006A5A65" w:rsidP="00842066">
      <w:pPr>
        <w:pStyle w:val="ListParaNoIndent"/>
        <w:widowControl w:val="0"/>
        <w:numPr>
          <w:ilvl w:val="0"/>
          <w:numId w:val="18"/>
        </w:numPr>
        <w:spacing w:after="0"/>
      </w:pPr>
      <w:r>
        <w:t>The cases seem to say that numbers alone may not always establish a prima facie case of discrimination, but that is usually all you have and is usually sufficient</w:t>
      </w:r>
    </w:p>
    <w:p w14:paraId="1596F9E0" w14:textId="5BFCC324" w:rsidR="00E21780" w:rsidRDefault="00E21780" w:rsidP="00842066">
      <w:pPr>
        <w:pStyle w:val="ListParaNoIndent"/>
        <w:widowControl w:val="0"/>
        <w:numPr>
          <w:ilvl w:val="0"/>
          <w:numId w:val="18"/>
        </w:numPr>
        <w:spacing w:after="0"/>
      </w:pPr>
      <w:bookmarkStart w:id="0" w:name="_Hlk21188693"/>
      <w:r>
        <w:t>“The first step is not particularly onerous; it requires only evidence sufficient for the trial judge to draw an inference of discrimination.”</w:t>
      </w:r>
      <w:bookmarkEnd w:id="0"/>
      <w:r>
        <w:rPr>
          <w:rStyle w:val="EndnoteReference"/>
        </w:rPr>
        <w:endnoteReference w:id="13"/>
      </w:r>
    </w:p>
    <w:p w14:paraId="39372FA3" w14:textId="392A85F5" w:rsidR="006A5A65" w:rsidRDefault="006A5A65" w:rsidP="00842066">
      <w:pPr>
        <w:pStyle w:val="ListParaNoIndent"/>
        <w:widowControl w:val="0"/>
        <w:numPr>
          <w:ilvl w:val="0"/>
          <w:numId w:val="18"/>
        </w:numPr>
        <w:spacing w:after="0"/>
      </w:pPr>
      <w:r>
        <w:rPr>
          <w:b/>
          <w:bCs/>
        </w:rPr>
        <w:t>PRACTICE POINT:</w:t>
      </w:r>
      <w:r>
        <w:t xml:space="preserve"> We know that if the objecting party cannot make a prima facie case of discrimination, the analysis ends and the motion is denied.  But most of us are reluctant to “take the chance” of being wrong and find a prima facie case has been made whenever the numbers are not nearly exact between the minority members of the venire and the petit juries</w:t>
      </w:r>
      <w:r w:rsidR="00E21780">
        <w:t>.  Discuss…</w:t>
      </w:r>
    </w:p>
    <w:p w14:paraId="50DBD833" w14:textId="34CA758C" w:rsidR="001E1101" w:rsidRDefault="001E1101" w:rsidP="00ED3C2F">
      <w:pPr>
        <w:pStyle w:val="ListParaNoIndent"/>
        <w:widowControl w:val="0"/>
        <w:spacing w:after="0"/>
      </w:pPr>
      <w:r>
        <w:pict w14:anchorId="3BB16F18">
          <v:rect id="_x0000_i1051" style="width:468pt;height:1.5pt" o:hralign="center" o:hrstd="t" o:hrnoshade="t" o:hr="t" fillcolor="black [3213]" stroked="f"/>
        </w:pict>
      </w:r>
    </w:p>
    <w:p w14:paraId="560C42D1" w14:textId="77777777" w:rsidR="00CD3C7A" w:rsidRDefault="00CD3C7A" w:rsidP="00ED3C2F">
      <w:pPr>
        <w:pStyle w:val="ListParaNoIndent"/>
        <w:widowControl w:val="0"/>
        <w:spacing w:after="0"/>
      </w:pPr>
    </w:p>
    <w:p w14:paraId="22D8E0A2" w14:textId="78B558EF" w:rsidR="00E21780" w:rsidRDefault="00E21780" w:rsidP="00E21780">
      <w:pPr>
        <w:pStyle w:val="ListParaNoIndent"/>
        <w:widowControl w:val="0"/>
        <w:spacing w:after="0"/>
        <w:jc w:val="center"/>
        <w:rPr>
          <w:b/>
          <w:bCs/>
          <w:u w:val="single"/>
        </w:rPr>
      </w:pPr>
      <w:r>
        <w:rPr>
          <w:b/>
          <w:bCs/>
          <w:u w:val="single"/>
        </w:rPr>
        <w:lastRenderedPageBreak/>
        <w:t>STEP 2 OF THE ANALYSIS</w:t>
      </w:r>
    </w:p>
    <w:p w14:paraId="6021C2A8" w14:textId="79289F52" w:rsidR="00E21780" w:rsidRPr="00E21780" w:rsidRDefault="00E21780" w:rsidP="00E21780">
      <w:pPr>
        <w:pStyle w:val="ListParaNoIndent"/>
        <w:widowControl w:val="0"/>
        <w:spacing w:after="0"/>
        <w:jc w:val="center"/>
        <w:rPr>
          <w:b/>
          <w:bCs/>
          <w:u w:val="single"/>
        </w:rPr>
      </w:pPr>
      <w:r>
        <w:rPr>
          <w:b/>
          <w:bCs/>
          <w:u w:val="single"/>
        </w:rPr>
        <w:t>(STATING THE REASONS FOR THE STRIKES)</w:t>
      </w:r>
    </w:p>
    <w:p w14:paraId="5507DEA8" w14:textId="645DC939" w:rsidR="001C5AA3" w:rsidRDefault="001C5AA3" w:rsidP="00ED3C2F">
      <w:pPr>
        <w:pStyle w:val="ListParaNoIndent"/>
        <w:widowControl w:val="0"/>
        <w:numPr>
          <w:ilvl w:val="0"/>
          <w:numId w:val="18"/>
        </w:numPr>
        <w:spacing w:after="0"/>
      </w:pPr>
      <w:r>
        <w:t xml:space="preserve">First, make a finding that a prima facie case has been established.  If not, do not proceed and deny the motion. (see </w:t>
      </w:r>
      <w:r w:rsidRPr="001C5AA3">
        <w:rPr>
          <w:b/>
          <w:bCs/>
        </w:rPr>
        <w:t>PRACTICE POINT</w:t>
      </w:r>
      <w:r>
        <w:t xml:space="preserve"> above)</w:t>
      </w:r>
    </w:p>
    <w:p w14:paraId="776A8A0B" w14:textId="1F59D9DE" w:rsidR="001E1101" w:rsidRDefault="002A5305" w:rsidP="00ED3C2F">
      <w:pPr>
        <w:pStyle w:val="ListParaNoIndent"/>
        <w:widowControl w:val="0"/>
        <w:numPr>
          <w:ilvl w:val="0"/>
          <w:numId w:val="18"/>
        </w:numPr>
        <w:spacing w:after="0"/>
      </w:pPr>
      <w:r>
        <w:t>It is important that the judge not rush this process and somehow confuse step two and rush to step three.</w:t>
      </w:r>
    </w:p>
    <w:p w14:paraId="22CAD629" w14:textId="6DB673C6" w:rsidR="001C5AA3" w:rsidRDefault="001C5AA3" w:rsidP="001C5AA3">
      <w:pPr>
        <w:pStyle w:val="ListParaNoIndent"/>
        <w:widowControl w:val="0"/>
        <w:numPr>
          <w:ilvl w:val="1"/>
          <w:numId w:val="18"/>
        </w:numPr>
        <w:spacing w:after="0"/>
      </w:pPr>
      <w:r>
        <w:t>Where the trial court rejects the alleged race-neutral reason for the strike articulated by the proponent of the strike</w:t>
      </w:r>
      <w:r w:rsidR="00F74103">
        <w:t xml:space="preserve"> (without moving to step 3)</w:t>
      </w:r>
      <w:r>
        <w:t>, the trial court commits reversible error.</w:t>
      </w:r>
      <w:r>
        <w:rPr>
          <w:rStyle w:val="EndnoteReference"/>
        </w:rPr>
        <w:endnoteReference w:id="14"/>
      </w:r>
    </w:p>
    <w:p w14:paraId="525DF97D" w14:textId="2895A404" w:rsidR="002A5305" w:rsidRDefault="002A5305" w:rsidP="001C5AA3">
      <w:pPr>
        <w:pStyle w:val="ListParaNoIndent"/>
        <w:widowControl w:val="0"/>
        <w:numPr>
          <w:ilvl w:val="0"/>
          <w:numId w:val="18"/>
        </w:numPr>
        <w:spacing w:after="0"/>
      </w:pPr>
      <w:r>
        <w:t xml:space="preserve">Have the party who struck the potential jurors provide their alleged race-neutral reasons for </w:t>
      </w:r>
      <w:r w:rsidR="001C5AA3">
        <w:t>their strikes</w:t>
      </w:r>
    </w:p>
    <w:p w14:paraId="0FC1FD54" w14:textId="1075E2A0" w:rsidR="001C5AA3" w:rsidRDefault="001C5AA3" w:rsidP="001C5AA3">
      <w:pPr>
        <w:pStyle w:val="ListParaNoIndent"/>
        <w:widowControl w:val="0"/>
        <w:numPr>
          <w:ilvl w:val="2"/>
          <w:numId w:val="18"/>
        </w:numPr>
        <w:spacing w:after="0"/>
      </w:pPr>
      <w:r>
        <w:t>I do not require them to explain any of their strikes of non-minority jurors</w:t>
      </w:r>
    </w:p>
    <w:p w14:paraId="3561FF29" w14:textId="3C29025E" w:rsidR="00F74103" w:rsidRDefault="00F74103" w:rsidP="00F74103">
      <w:pPr>
        <w:pStyle w:val="ListParaNoIndent"/>
        <w:widowControl w:val="0"/>
        <w:numPr>
          <w:ilvl w:val="0"/>
          <w:numId w:val="18"/>
        </w:numPr>
        <w:spacing w:after="0"/>
      </w:pPr>
      <w:bookmarkStart w:id="1" w:name="_Hlk21188848"/>
      <w:r>
        <w:rPr>
          <w:rFonts w:ascii="Arial" w:hAnsi="Arial" w:cs="Arial"/>
          <w:color w:val="212121"/>
          <w:sz w:val="21"/>
          <w:szCs w:val="21"/>
        </w:rPr>
        <w:t> </w:t>
      </w:r>
      <w:r w:rsidRPr="00F57470">
        <w:t xml:space="preserve">“A race-neutral explanation need not be persuasive, plausible or even make sense; it must simply be based on something other than the juror's race. Unless a discriminatory intent is inherent in the proponent's explanation, the reason offered will be deemed </w:t>
      </w:r>
      <w:r w:rsidRPr="00D27778">
        <w:t>race-neutral</w:t>
      </w:r>
      <w:r w:rsidRPr="00F57470">
        <w:t>.”</w:t>
      </w:r>
      <w:bookmarkEnd w:id="1"/>
      <w:r>
        <w:rPr>
          <w:rStyle w:val="EndnoteReference"/>
        </w:rPr>
        <w:endnoteReference w:id="15"/>
      </w:r>
    </w:p>
    <w:p w14:paraId="0C4CB0E2" w14:textId="6C52CF23" w:rsidR="00F74103" w:rsidRDefault="00F74103" w:rsidP="00F74103">
      <w:pPr>
        <w:pStyle w:val="ListParaNoIndent"/>
        <w:widowControl w:val="0"/>
        <w:numPr>
          <w:ilvl w:val="0"/>
          <w:numId w:val="18"/>
        </w:numPr>
        <w:spacing w:after="0"/>
      </w:pPr>
      <w:r w:rsidRPr="00F74103">
        <w:t>The</w:t>
      </w:r>
      <w:r>
        <w:t xml:space="preserve">re is no longer a requirement that the </w:t>
      </w:r>
      <w:r w:rsidR="003373EA">
        <w:t xml:space="preserve">reasons for the </w:t>
      </w:r>
      <w:r>
        <w:t>strikes be “case-related.”</w:t>
      </w:r>
      <w:r>
        <w:rPr>
          <w:rStyle w:val="EndnoteReference"/>
        </w:rPr>
        <w:endnoteReference w:id="16"/>
      </w:r>
    </w:p>
    <w:p w14:paraId="450D4B04" w14:textId="77777777" w:rsidR="003373EA" w:rsidRDefault="003373EA" w:rsidP="00F74103">
      <w:pPr>
        <w:pStyle w:val="ListParaNoIndent"/>
        <w:widowControl w:val="0"/>
        <w:numPr>
          <w:ilvl w:val="0"/>
          <w:numId w:val="18"/>
        </w:numPr>
        <w:spacing w:after="0"/>
      </w:pPr>
      <w:r>
        <w:lastRenderedPageBreak/>
        <w:t xml:space="preserve">The trial court must not intervene or suggest potential race-neutral reasons for a strike during step two because the trial court will ultimately be called upon to determine whether the party’s intent was race-neutral in step three. </w:t>
      </w:r>
    </w:p>
    <w:p w14:paraId="6A47CDD1" w14:textId="3FE165DB" w:rsidR="003373EA" w:rsidRDefault="003373EA" w:rsidP="003373EA">
      <w:pPr>
        <w:pStyle w:val="ListParaNoIndent"/>
        <w:widowControl w:val="0"/>
        <w:numPr>
          <w:ilvl w:val="1"/>
          <w:numId w:val="18"/>
        </w:numPr>
        <w:spacing w:after="0"/>
      </w:pPr>
      <w:r>
        <w:t>“Observing the proponent of the strike as he struggles to put his thoughts into words provides the court with information that may prove important in evaluating the credibility of the reasons in step three.”</w:t>
      </w:r>
      <w:r>
        <w:rPr>
          <w:rStyle w:val="EndnoteReference"/>
        </w:rPr>
        <w:endnoteReference w:id="17"/>
      </w:r>
    </w:p>
    <w:p w14:paraId="0B3DA6ED" w14:textId="24F79DFC" w:rsidR="00671120" w:rsidRDefault="00671120" w:rsidP="00ED3C2F">
      <w:pPr>
        <w:pStyle w:val="ListParaNoIndent"/>
        <w:widowControl w:val="0"/>
        <w:spacing w:after="0"/>
      </w:pPr>
      <w:r>
        <w:pict w14:anchorId="3F5F7339">
          <v:rect id="_x0000_i1053" style="width:468pt;height:1.5pt" o:hralign="center" o:hrstd="t" o:hrnoshade="t" o:hr="t" fillcolor="black [3213]" stroked="f"/>
        </w:pict>
      </w:r>
    </w:p>
    <w:p w14:paraId="4A748AAA" w14:textId="1AE00BE3" w:rsidR="003606D7" w:rsidRDefault="003373EA" w:rsidP="00ED3C2F">
      <w:pPr>
        <w:pStyle w:val="ListParaNoIndent"/>
        <w:widowControl w:val="0"/>
        <w:spacing w:after="0"/>
        <w:jc w:val="center"/>
        <w:rPr>
          <w:b/>
          <w:bCs/>
          <w:u w:val="single"/>
        </w:rPr>
      </w:pPr>
      <w:r>
        <w:rPr>
          <w:b/>
          <w:bCs/>
          <w:u w:val="single"/>
        </w:rPr>
        <w:t>STEP 3 OF THE ANALYSIS</w:t>
      </w:r>
    </w:p>
    <w:p w14:paraId="2034D12B" w14:textId="7FD9199E" w:rsidR="003373EA" w:rsidRDefault="003373EA" w:rsidP="00ED3C2F">
      <w:pPr>
        <w:pStyle w:val="ListParaNoIndent"/>
        <w:widowControl w:val="0"/>
        <w:spacing w:after="0"/>
        <w:jc w:val="center"/>
        <w:rPr>
          <w:b/>
          <w:bCs/>
          <w:u w:val="single"/>
        </w:rPr>
      </w:pPr>
      <w:r>
        <w:rPr>
          <w:b/>
          <w:bCs/>
          <w:u w:val="single"/>
        </w:rPr>
        <w:t xml:space="preserve">(WAS </w:t>
      </w:r>
      <w:r w:rsidR="00BF3E73">
        <w:rPr>
          <w:b/>
          <w:bCs/>
          <w:u w:val="single"/>
        </w:rPr>
        <w:t xml:space="preserve">PROFFERED </w:t>
      </w:r>
      <w:r>
        <w:rPr>
          <w:b/>
          <w:bCs/>
          <w:u w:val="single"/>
        </w:rPr>
        <w:t>RACE-NEUTRAL REASON VALID?)</w:t>
      </w:r>
    </w:p>
    <w:p w14:paraId="51A9AEE8" w14:textId="46B8BABC" w:rsidR="003373EA" w:rsidRDefault="003373EA" w:rsidP="003373EA">
      <w:pPr>
        <w:pStyle w:val="ListParaNoIndent"/>
        <w:widowControl w:val="0"/>
        <w:numPr>
          <w:ilvl w:val="0"/>
          <w:numId w:val="18"/>
        </w:numPr>
        <w:spacing w:after="0"/>
      </w:pPr>
      <w:r w:rsidRPr="003373EA">
        <w:t xml:space="preserve">It is not until the third step of </w:t>
      </w:r>
      <w:r w:rsidRPr="003373EA">
        <w:rPr>
          <w:i/>
        </w:rPr>
        <w:t>Batson</w:t>
      </w:r>
      <w:r w:rsidRPr="003373EA">
        <w:t xml:space="preserve"> analysis that the persuasiveness of the race-neutral justification given by the </w:t>
      </w:r>
      <w:r>
        <w:t>party who struck the juror</w:t>
      </w:r>
      <w:r w:rsidRPr="003373EA">
        <w:t xml:space="preserve"> becomes relevant.</w:t>
      </w:r>
    </w:p>
    <w:p w14:paraId="37E08D59" w14:textId="20E61879" w:rsidR="00BF3E73" w:rsidRDefault="00BF3E73" w:rsidP="003373EA">
      <w:pPr>
        <w:pStyle w:val="ListParaNoIndent"/>
        <w:widowControl w:val="0"/>
        <w:numPr>
          <w:ilvl w:val="0"/>
          <w:numId w:val="18"/>
        </w:numPr>
        <w:spacing w:after="0"/>
      </w:pPr>
      <w:r>
        <w:t>“Totality of the circumstances” analysis is applicable</w:t>
      </w:r>
    </w:p>
    <w:p w14:paraId="36459274" w14:textId="584EDDB5" w:rsidR="00BF3E73" w:rsidRDefault="00BF3E73" w:rsidP="00BF3E73">
      <w:pPr>
        <w:pStyle w:val="ListParaNoIndent"/>
        <w:widowControl w:val="0"/>
        <w:numPr>
          <w:ilvl w:val="1"/>
          <w:numId w:val="18"/>
        </w:numPr>
        <w:spacing w:after="0"/>
      </w:pPr>
      <w:r>
        <w:t>So you can consider whether any similarly-situated jurors of another race/gender were not struck</w:t>
      </w:r>
    </w:p>
    <w:p w14:paraId="28272928" w14:textId="77777777" w:rsidR="0011188D" w:rsidRDefault="003373EA" w:rsidP="00BF3E73">
      <w:pPr>
        <w:pStyle w:val="ListParaNoIndent"/>
        <w:widowControl w:val="0"/>
        <w:numPr>
          <w:ilvl w:val="0"/>
          <w:numId w:val="18"/>
        </w:numPr>
        <w:spacing w:after="0"/>
      </w:pPr>
      <w:r>
        <w:t xml:space="preserve">Very Important—unless </w:t>
      </w:r>
      <w:r w:rsidR="0011188D">
        <w:t>discriminatory intent is inherent in the explanation given, do not rule on whether you are persuaded by the proffered reason for the strike until step 3</w:t>
      </w:r>
    </w:p>
    <w:p w14:paraId="700E8E50" w14:textId="6497DB76" w:rsidR="0011188D" w:rsidRDefault="0011188D" w:rsidP="0011188D">
      <w:pPr>
        <w:pStyle w:val="ListParaNoIndent"/>
        <w:widowControl w:val="0"/>
        <w:numPr>
          <w:ilvl w:val="0"/>
          <w:numId w:val="18"/>
        </w:numPr>
        <w:spacing w:after="0"/>
      </w:pPr>
      <w:r>
        <w:t xml:space="preserve">You are to determine if the proffered race-neutral reasons were pretextual or </w:t>
      </w:r>
      <w:r>
        <w:lastRenderedPageBreak/>
        <w:t>valid.</w:t>
      </w:r>
    </w:p>
    <w:p w14:paraId="30CB20A0" w14:textId="1F912ECB" w:rsidR="00EC325A" w:rsidRDefault="00EC325A" w:rsidP="0011188D">
      <w:pPr>
        <w:pStyle w:val="ListParaNoIndent"/>
        <w:widowControl w:val="0"/>
        <w:numPr>
          <w:ilvl w:val="0"/>
          <w:numId w:val="18"/>
        </w:numPr>
        <w:spacing w:after="0"/>
      </w:pPr>
      <w:r w:rsidRPr="00EC325A">
        <w:t>“Thus although a trial judge must accept a facially race-neutral explanation for purposes of determining whether the proponent has satisfied his burden of production at stage two, this does not mean that the judge is bound to believe such explanation at stage three.”</w:t>
      </w:r>
      <w:r>
        <w:rPr>
          <w:rStyle w:val="EndnoteReference"/>
        </w:rPr>
        <w:endnoteReference w:id="18"/>
      </w:r>
      <w:r w:rsidRPr="00EC325A">
        <w:t xml:space="preserve"> </w:t>
      </w:r>
    </w:p>
    <w:p w14:paraId="427BBB31" w14:textId="32F23BD8" w:rsidR="003373EA" w:rsidRDefault="0011188D" w:rsidP="00706018">
      <w:pPr>
        <w:pStyle w:val="ListParaNoIndent"/>
        <w:widowControl w:val="0"/>
        <w:numPr>
          <w:ilvl w:val="0"/>
          <w:numId w:val="18"/>
        </w:numPr>
        <w:spacing w:after="0"/>
      </w:pPr>
      <w:r w:rsidRPr="0011188D">
        <w:t>“At [the third] stage, implausible or fantastic justifications may (and probably will) be found to be pretexts for purposeful discrimination.”</w:t>
      </w:r>
      <w:r>
        <w:rPr>
          <w:rStyle w:val="EndnoteReference"/>
        </w:rPr>
        <w:endnoteReference w:id="19"/>
      </w:r>
      <w:r w:rsidR="003373EA">
        <w:t xml:space="preserve"> </w:t>
      </w:r>
    </w:p>
    <w:p w14:paraId="6DD95CEA" w14:textId="77777777" w:rsidR="00EF5934" w:rsidRDefault="00EF5934" w:rsidP="00706018">
      <w:pPr>
        <w:pStyle w:val="ListParaNoIndent"/>
        <w:widowControl w:val="0"/>
        <w:numPr>
          <w:ilvl w:val="0"/>
          <w:numId w:val="18"/>
        </w:numPr>
        <w:spacing w:after="0"/>
      </w:pPr>
      <w:r>
        <w:t>After the proponent of the strike offers race-neutral explanations for the strikes, the burden then shifts back to the opponent of the strike to prove that the proffered explanations are pretexts for discrimination.</w:t>
      </w:r>
      <w:r>
        <w:rPr>
          <w:rStyle w:val="EndnoteReference"/>
        </w:rPr>
        <w:endnoteReference w:id="20"/>
      </w:r>
      <w:r>
        <w:t xml:space="preserve"> </w:t>
      </w:r>
    </w:p>
    <w:p w14:paraId="11EE8F09" w14:textId="39DD0778" w:rsidR="00EF5934" w:rsidRDefault="00EF5934" w:rsidP="00EF5934">
      <w:pPr>
        <w:pStyle w:val="ListParaNoIndent"/>
        <w:widowControl w:val="0"/>
        <w:numPr>
          <w:ilvl w:val="1"/>
          <w:numId w:val="18"/>
        </w:numPr>
        <w:spacing w:after="0"/>
      </w:pPr>
      <w:r>
        <w:t>It is in the third step that the trial court is expected to make credibility determinations of the proponent to determine if the stated reasons were actually race-neutral or were so unbelievable that they were pretextual and, therefore, also must have been based on an illegal intention.</w:t>
      </w:r>
    </w:p>
    <w:p w14:paraId="6F744A1A" w14:textId="7326A67F" w:rsidR="00EF5934" w:rsidRDefault="00EF5934" w:rsidP="00EF5934">
      <w:pPr>
        <w:pStyle w:val="ListParaNoIndent"/>
        <w:widowControl w:val="0"/>
        <w:numPr>
          <w:ilvl w:val="1"/>
          <w:numId w:val="18"/>
        </w:numPr>
        <w:spacing w:after="0"/>
      </w:pPr>
      <w:r>
        <w:t>“</w:t>
      </w:r>
      <w:r w:rsidRPr="00F37220">
        <w:t xml:space="preserve">In determining whether a strike is pretextual, the trial court, which can directly evaluate an attorney’s credibility and whether discriminatory intent is present, </w:t>
      </w:r>
      <w:r>
        <w:t>‘</w:t>
      </w:r>
      <w:r w:rsidRPr="00F37220">
        <w:t xml:space="preserve">should focus on the genuineness of the explanation, </w:t>
      </w:r>
      <w:r>
        <w:t>rather than its reasonableness.’”</w:t>
      </w:r>
      <w:r>
        <w:rPr>
          <w:rStyle w:val="EndnoteReference"/>
        </w:rPr>
        <w:endnoteReference w:id="21"/>
      </w:r>
    </w:p>
    <w:p w14:paraId="2CCE5CA2" w14:textId="03C48E7E" w:rsidR="00EF5934" w:rsidRDefault="00EF5934" w:rsidP="00EF5934">
      <w:pPr>
        <w:pStyle w:val="ListParaNoIndent"/>
        <w:widowControl w:val="0"/>
        <w:numPr>
          <w:ilvl w:val="0"/>
          <w:numId w:val="18"/>
        </w:numPr>
        <w:spacing w:after="0"/>
      </w:pPr>
      <w:r>
        <w:t xml:space="preserve">The reason for the strike can be “superstitious, silly or implausible,” but the </w:t>
      </w:r>
      <w:r>
        <w:lastRenderedPageBreak/>
        <w:t>“striking party’s burden is satisfied as long as the articulated reason is race or gender-neutral.”</w:t>
      </w:r>
      <w:r>
        <w:rPr>
          <w:rStyle w:val="EndnoteReference"/>
        </w:rPr>
        <w:endnoteReference w:id="22"/>
      </w:r>
    </w:p>
    <w:p w14:paraId="1B5A3C10" w14:textId="2F6C264A" w:rsidR="003606D7" w:rsidRDefault="003606D7" w:rsidP="00ED3C2F">
      <w:pPr>
        <w:pStyle w:val="ListParaNoIndent"/>
        <w:widowControl w:val="0"/>
        <w:spacing w:after="0"/>
      </w:pPr>
      <w:r>
        <w:pict w14:anchorId="4A14C364">
          <v:rect id="_x0000_i1058" style="width:468pt;height:1.5pt" o:hralign="center" o:hrstd="t" o:hrnoshade="t" o:hr="t" fillcolor="black [3213]" stroked="f"/>
        </w:pict>
      </w:r>
    </w:p>
    <w:p w14:paraId="6305C0F8" w14:textId="77777777" w:rsidR="00CD3C7A" w:rsidRDefault="00CD3C7A" w:rsidP="00ED3C2F">
      <w:pPr>
        <w:pStyle w:val="ListParaNoIndent"/>
        <w:widowControl w:val="0"/>
        <w:spacing w:after="0"/>
      </w:pPr>
    </w:p>
    <w:p w14:paraId="1179E8E6" w14:textId="1EED82A9" w:rsidR="00671120" w:rsidRPr="006145F2" w:rsidRDefault="00EF5934" w:rsidP="00ED3C2F">
      <w:pPr>
        <w:pStyle w:val="ListParaNoIndent"/>
        <w:widowControl w:val="0"/>
        <w:spacing w:after="0"/>
        <w:jc w:val="center"/>
      </w:pPr>
      <w:r>
        <w:rPr>
          <w:b/>
          <w:u w:val="single"/>
        </w:rPr>
        <w:t>EXAMPLES OF ACCEPTED AND REJECTED RACE-NEUTRAL REASONS FOR STRIKES</w:t>
      </w:r>
    </w:p>
    <w:p w14:paraId="37AA158B" w14:textId="286D49D9" w:rsidR="00EF5934" w:rsidRDefault="00CD3C7A" w:rsidP="00EF5934">
      <w:pPr>
        <w:pStyle w:val="ListParaNoIndent"/>
        <w:widowControl w:val="0"/>
        <w:numPr>
          <w:ilvl w:val="0"/>
          <w:numId w:val="18"/>
        </w:numPr>
        <w:spacing w:after="0"/>
      </w:pPr>
      <w:r>
        <w:t>W</w:t>
      </w:r>
      <w:r w:rsidR="00EF5934">
        <w:t>here a potential juror seemed disinterested in the process or the case, that disinterest is a race-neutral explanation for a preemptory strike.</w:t>
      </w:r>
      <w:r w:rsidR="00EF5934">
        <w:rPr>
          <w:rStyle w:val="EndnoteReference"/>
        </w:rPr>
        <w:endnoteReference w:id="23"/>
      </w:r>
    </w:p>
    <w:p w14:paraId="437343E7" w14:textId="716E2BDB" w:rsidR="003456BF" w:rsidRDefault="003456BF" w:rsidP="00EF5934">
      <w:pPr>
        <w:pStyle w:val="ListParaNoIndent"/>
        <w:widowControl w:val="0"/>
        <w:numPr>
          <w:ilvl w:val="0"/>
          <w:numId w:val="18"/>
        </w:numPr>
        <w:spacing w:after="0"/>
      </w:pPr>
      <w:r>
        <w:t>A juror’s prior criminal history has been found to be race-neutral.</w:t>
      </w:r>
      <w:r>
        <w:rPr>
          <w:rStyle w:val="EndnoteReference"/>
        </w:rPr>
        <w:endnoteReference w:id="24"/>
      </w:r>
      <w:r>
        <w:t xml:space="preserve"> </w:t>
      </w:r>
    </w:p>
    <w:p w14:paraId="2A955976" w14:textId="04C2F702" w:rsidR="00EC325A" w:rsidRDefault="00EC325A" w:rsidP="00EF5934">
      <w:pPr>
        <w:pStyle w:val="ListParaNoIndent"/>
        <w:widowControl w:val="0"/>
        <w:numPr>
          <w:ilvl w:val="0"/>
          <w:numId w:val="18"/>
        </w:numPr>
        <w:spacing w:after="0"/>
      </w:pPr>
      <w:r>
        <w:t>Juror having previously served on a jury that returned a not guilty verdict is race-neutral</w:t>
      </w:r>
      <w:r>
        <w:rPr>
          <w:rStyle w:val="EndnoteReference"/>
        </w:rPr>
        <w:endnoteReference w:id="25"/>
      </w:r>
    </w:p>
    <w:p w14:paraId="124AD72D" w14:textId="77777777" w:rsidR="003456BF" w:rsidRDefault="003456BF" w:rsidP="00EF5934">
      <w:pPr>
        <w:pStyle w:val="ListParaNoIndent"/>
        <w:widowControl w:val="0"/>
        <w:numPr>
          <w:ilvl w:val="0"/>
          <w:numId w:val="18"/>
        </w:numPr>
        <w:spacing w:after="0"/>
      </w:pPr>
      <w:r>
        <w:t>Lack of employment by a juror has been held to be race-neutral.</w:t>
      </w:r>
      <w:r>
        <w:rPr>
          <w:rStyle w:val="EndnoteReference"/>
        </w:rPr>
        <w:endnoteReference w:id="26"/>
      </w:r>
      <w:r>
        <w:t xml:space="preserve"> </w:t>
      </w:r>
    </w:p>
    <w:p w14:paraId="147BF201" w14:textId="20ED579B" w:rsidR="003456BF" w:rsidRDefault="003456BF" w:rsidP="00EF5934">
      <w:pPr>
        <w:pStyle w:val="ListParaNoIndent"/>
        <w:widowControl w:val="0"/>
        <w:numPr>
          <w:ilvl w:val="0"/>
          <w:numId w:val="18"/>
        </w:numPr>
        <w:spacing w:after="0"/>
      </w:pPr>
      <w:r>
        <w:t xml:space="preserve">The arrest history of a </w:t>
      </w:r>
      <w:r w:rsidR="00815974">
        <w:t xml:space="preserve">juror and/or the </w:t>
      </w:r>
      <w:r>
        <w:t>juror’s family members has also been found to be race-neutral.</w:t>
      </w:r>
      <w:r>
        <w:rPr>
          <w:rStyle w:val="EndnoteReference"/>
        </w:rPr>
        <w:endnoteReference w:id="27"/>
      </w:r>
    </w:p>
    <w:p w14:paraId="582EE44D" w14:textId="07711101" w:rsidR="003456BF" w:rsidRDefault="003456BF" w:rsidP="00EF5934">
      <w:pPr>
        <w:pStyle w:val="ListParaNoIndent"/>
        <w:widowControl w:val="0"/>
        <w:numPr>
          <w:ilvl w:val="0"/>
          <w:numId w:val="18"/>
        </w:numPr>
        <w:spacing w:after="0"/>
      </w:pPr>
      <w:r>
        <w:t>Body language, facial expressions and other non-verbal displays of demeanor have been found to be race-neutral reasons for the exercise of peremptory challenges.</w:t>
      </w:r>
      <w:r>
        <w:rPr>
          <w:rStyle w:val="EndnoteReference"/>
        </w:rPr>
        <w:endnoteReference w:id="28"/>
      </w:r>
    </w:p>
    <w:p w14:paraId="17A60917" w14:textId="704A3B12" w:rsidR="00815974" w:rsidRDefault="00815974" w:rsidP="00EF5934">
      <w:pPr>
        <w:pStyle w:val="ListParaNoIndent"/>
        <w:widowControl w:val="0"/>
        <w:numPr>
          <w:ilvl w:val="0"/>
          <w:numId w:val="18"/>
        </w:numPr>
        <w:spacing w:after="0"/>
      </w:pPr>
      <w:r>
        <w:t>If a juror appears to be mentally challenged, their strike was deemed race-neutral</w:t>
      </w:r>
      <w:r>
        <w:rPr>
          <w:rStyle w:val="EndnoteReference"/>
        </w:rPr>
        <w:endnoteReference w:id="29"/>
      </w:r>
    </w:p>
    <w:p w14:paraId="00210FA7" w14:textId="77777777" w:rsidR="003456BF" w:rsidRDefault="003456BF" w:rsidP="00EF5934">
      <w:pPr>
        <w:pStyle w:val="ListParaNoIndent"/>
        <w:widowControl w:val="0"/>
        <w:numPr>
          <w:ilvl w:val="0"/>
          <w:numId w:val="18"/>
        </w:numPr>
        <w:spacing w:after="0"/>
      </w:pPr>
      <w:r>
        <w:lastRenderedPageBreak/>
        <w:t>Where the proponent stated that a juror “had gold teeth,” that characteristic “is specific to a racial group or a stereotypical belief that is imputed to a particular race.”</w:t>
      </w:r>
      <w:r>
        <w:rPr>
          <w:rStyle w:val="EndnoteReference"/>
        </w:rPr>
        <w:endnoteReference w:id="30"/>
      </w:r>
      <w:r>
        <w:t xml:space="preserve"> </w:t>
      </w:r>
    </w:p>
    <w:p w14:paraId="315ABD70" w14:textId="560DC081" w:rsidR="003456BF" w:rsidRDefault="003456BF" w:rsidP="003456BF">
      <w:pPr>
        <w:pStyle w:val="ListParaNoIndent"/>
        <w:widowControl w:val="0"/>
        <w:numPr>
          <w:ilvl w:val="1"/>
          <w:numId w:val="18"/>
        </w:numPr>
        <w:spacing w:after="0"/>
      </w:pPr>
      <w:r>
        <w:t>Where the stated reason for the strike is obviously based in such a racial stereotype, that reason is simply not race-neutral and the proponent has therefore failed to carry its burden as to that particular juror in step two.</w:t>
      </w:r>
      <w:r>
        <w:rPr>
          <w:rStyle w:val="EndnoteReference"/>
        </w:rPr>
        <w:endnoteReference w:id="31"/>
      </w:r>
    </w:p>
    <w:p w14:paraId="025A6BA1" w14:textId="77777777" w:rsidR="003456BF" w:rsidRDefault="003456BF" w:rsidP="003456BF">
      <w:pPr>
        <w:pStyle w:val="ListParaNoIndent"/>
        <w:widowControl w:val="0"/>
        <w:numPr>
          <w:ilvl w:val="0"/>
          <w:numId w:val="18"/>
        </w:numPr>
        <w:spacing w:after="0"/>
      </w:pPr>
      <w:r>
        <w:t>Where the proponent proffers some reasons that are race-neutral and some that are clearly not race-neutral or are so stereotypically race-based, the proffered reason must be rejected because any race-based reason for a strike is improper.</w:t>
      </w:r>
      <w:r>
        <w:rPr>
          <w:rStyle w:val="EndnoteReference"/>
        </w:rPr>
        <w:endnoteReference w:id="32"/>
      </w:r>
      <w:r>
        <w:t xml:space="preserve"> </w:t>
      </w:r>
    </w:p>
    <w:p w14:paraId="689EF2E5" w14:textId="28E34A9A" w:rsidR="003456BF" w:rsidRDefault="003456BF" w:rsidP="003456BF">
      <w:pPr>
        <w:pStyle w:val="ListParaNoIndent"/>
        <w:widowControl w:val="0"/>
        <w:numPr>
          <w:ilvl w:val="1"/>
          <w:numId w:val="18"/>
        </w:numPr>
        <w:spacing w:after="0"/>
      </w:pPr>
      <w:r>
        <w:t>“</w:t>
      </w:r>
      <w:r w:rsidRPr="00CB75C8">
        <w:t xml:space="preserve">In short, under current Georgia law, an alternative race-neutral basis does not cure the facially race-based reason given by the </w:t>
      </w:r>
      <w:r>
        <w:t>[proponent]</w:t>
      </w:r>
      <w:r w:rsidRPr="00CB75C8">
        <w:t>.</w:t>
      </w:r>
      <w:r>
        <w:t>”</w:t>
      </w:r>
      <w:r>
        <w:rPr>
          <w:rStyle w:val="EndnoteReference"/>
        </w:rPr>
        <w:endnoteReference w:id="33"/>
      </w:r>
    </w:p>
    <w:p w14:paraId="67D9408A" w14:textId="23234F25" w:rsidR="00EF5934" w:rsidRDefault="003456BF" w:rsidP="0067145A">
      <w:pPr>
        <w:pStyle w:val="ListParaNoIndent"/>
        <w:widowControl w:val="0"/>
        <w:numPr>
          <w:ilvl w:val="0"/>
          <w:numId w:val="18"/>
        </w:numPr>
        <w:spacing w:after="0"/>
      </w:pPr>
      <w:r>
        <w:t>Where the proponent indicates that he cannot recall the actual reason for the strike and then incorrectly states that the juror “worked in the science field” but it was determined that the juror actually worked in pest control, the trial court can find pretext and reseat the juror.</w:t>
      </w:r>
      <w:r>
        <w:rPr>
          <w:rStyle w:val="EndnoteReference"/>
        </w:rPr>
        <w:endnoteReference w:id="34"/>
      </w:r>
    </w:p>
    <w:p w14:paraId="7B6E429C" w14:textId="1309539C" w:rsidR="00671120" w:rsidRDefault="00671120" w:rsidP="00ED3C2F">
      <w:pPr>
        <w:pStyle w:val="ListParaNoIndent"/>
        <w:widowControl w:val="0"/>
        <w:spacing w:after="0"/>
      </w:pPr>
      <w:r>
        <w:pict w14:anchorId="219CF34F">
          <v:rect id="_x0000_i1054" style="width:468pt;height:1.5pt" o:hralign="center" o:hrstd="t" o:hrnoshade="t" o:hr="t" fillcolor="black [3213]" stroked="f"/>
        </w:pict>
      </w:r>
    </w:p>
    <w:p w14:paraId="6C8EB8EA" w14:textId="1AA436DF" w:rsidR="00671120" w:rsidRDefault="003456BF" w:rsidP="00ED3C2F">
      <w:pPr>
        <w:pStyle w:val="ListParaNoIndent"/>
        <w:widowControl w:val="0"/>
        <w:spacing w:after="0"/>
        <w:jc w:val="center"/>
        <w:rPr>
          <w:b/>
          <w:bCs/>
          <w:u w:val="single"/>
        </w:rPr>
      </w:pPr>
      <w:r>
        <w:rPr>
          <w:b/>
          <w:bCs/>
          <w:u w:val="single"/>
        </w:rPr>
        <w:t>REMEDY UPON FINDING THAT A VIOLATION HAS OCCURRED</w:t>
      </w:r>
    </w:p>
    <w:p w14:paraId="5DA0892E" w14:textId="77777777" w:rsidR="000F5A5E" w:rsidRDefault="000F5A5E" w:rsidP="000F5A5E">
      <w:pPr>
        <w:pStyle w:val="ListParaNoIndent"/>
        <w:widowControl w:val="0"/>
        <w:numPr>
          <w:ilvl w:val="0"/>
          <w:numId w:val="18"/>
        </w:numPr>
        <w:spacing w:after="0"/>
      </w:pPr>
      <w:bookmarkStart w:id="2" w:name="_Hlk23692688"/>
      <w:r>
        <w:t xml:space="preserve">There is no single remedy if a violation is found to have occurred.  </w:t>
      </w:r>
    </w:p>
    <w:p w14:paraId="20D4B153" w14:textId="77777777" w:rsidR="000F5A5E" w:rsidRDefault="000F5A5E" w:rsidP="000F5A5E">
      <w:pPr>
        <w:pStyle w:val="ListParaNoIndent"/>
        <w:widowControl w:val="0"/>
        <w:numPr>
          <w:ilvl w:val="1"/>
          <w:numId w:val="18"/>
        </w:numPr>
        <w:spacing w:after="0"/>
      </w:pPr>
      <w:r>
        <w:lastRenderedPageBreak/>
        <w:t>It has been found appropriate to reinstate the improperly struck juror, and the previously chosen 12</w:t>
      </w:r>
      <w:r w:rsidRPr="000F5A5E">
        <w:rPr>
          <w:vertAlign w:val="superscript"/>
        </w:rPr>
        <w:t>th</w:t>
      </w:r>
      <w:r>
        <w:t xml:space="preserve"> juror can be made into an alternate juror (reseating the improperly struck juror and making the last one on the panel an additional alternate).</w:t>
      </w:r>
      <w:r>
        <w:rPr>
          <w:rStyle w:val="EndnoteReference"/>
        </w:rPr>
        <w:endnoteReference w:id="35"/>
      </w:r>
      <w:r>
        <w:t xml:space="preserve"> </w:t>
      </w:r>
    </w:p>
    <w:p w14:paraId="0E777BE2" w14:textId="77777777" w:rsidR="000F5A5E" w:rsidRDefault="000F5A5E" w:rsidP="000F5A5E">
      <w:pPr>
        <w:pStyle w:val="ListParaNoIndent"/>
        <w:widowControl w:val="0"/>
        <w:numPr>
          <w:ilvl w:val="1"/>
          <w:numId w:val="18"/>
        </w:numPr>
        <w:spacing w:after="0"/>
      </w:pPr>
      <w:r>
        <w:t>It has also found to be proper is to reinstate improperly struck jurors, and then permit selection to resume starting with the first reinstated juror.</w:t>
      </w:r>
      <w:r>
        <w:rPr>
          <w:rStyle w:val="EndnoteReference"/>
        </w:rPr>
        <w:endnoteReference w:id="36"/>
      </w:r>
      <w:r>
        <w:t xml:space="preserve"> </w:t>
      </w:r>
    </w:p>
    <w:p w14:paraId="3C4BF2C4" w14:textId="77777777" w:rsidR="000F5A5E" w:rsidRDefault="000F5A5E" w:rsidP="000F5A5E">
      <w:pPr>
        <w:pStyle w:val="ListParaNoIndent"/>
        <w:widowControl w:val="0"/>
        <w:numPr>
          <w:ilvl w:val="1"/>
          <w:numId w:val="18"/>
        </w:numPr>
        <w:spacing w:after="0"/>
      </w:pPr>
      <w:r>
        <w:t xml:space="preserve">The court may </w:t>
      </w:r>
      <w:r w:rsidRPr="00957D94">
        <w:t>restrike</w:t>
      </w:r>
      <w:r>
        <w:t xml:space="preserve"> the entire jury from the same panel that has been subjected to voir dire and disallow any peremptory strikes against the jurors that were previously improperly struck.</w:t>
      </w:r>
      <w:r>
        <w:rPr>
          <w:rStyle w:val="EndnoteReference"/>
        </w:rPr>
        <w:endnoteReference w:id="37"/>
      </w:r>
      <w:r>
        <w:t xml:space="preserve"> </w:t>
      </w:r>
    </w:p>
    <w:p w14:paraId="45C7FE2C" w14:textId="320CD25D" w:rsidR="000F5A5E" w:rsidRDefault="000F5A5E" w:rsidP="000F5A5E">
      <w:pPr>
        <w:pStyle w:val="ListParaNoIndent"/>
        <w:widowControl w:val="0"/>
        <w:numPr>
          <w:ilvl w:val="1"/>
          <w:numId w:val="18"/>
        </w:numPr>
        <w:spacing w:after="0"/>
      </w:pPr>
      <w:r w:rsidRPr="000F5A5E">
        <w:rPr>
          <w:i/>
        </w:rPr>
        <w:t>Batson</w:t>
      </w:r>
      <w:r>
        <w:t xml:space="preserve"> itself allows for the obvious remedy of discharging the entire venire panel and selection of a new jury from a new venire panel not previously associated with the case.</w:t>
      </w:r>
    </w:p>
    <w:p w14:paraId="30EF05B0" w14:textId="4D4CB135" w:rsidR="000F5A5E" w:rsidRPr="000F5A5E" w:rsidRDefault="000F5A5E" w:rsidP="000F5A5E">
      <w:pPr>
        <w:pStyle w:val="ListParaNoIndent"/>
        <w:widowControl w:val="0"/>
        <w:spacing w:after="0"/>
        <w:rPr>
          <w:iCs/>
        </w:rPr>
      </w:pPr>
      <w:r>
        <w:pict w14:anchorId="2E249AA0">
          <v:rect id="_x0000_i1091" style="width:468pt;height:1.5pt" o:hralign="center" o:hrstd="t" o:hrnoshade="t" o:hr="t" fillcolor="black [3213]" stroked="f"/>
        </w:pict>
      </w:r>
    </w:p>
    <w:bookmarkEnd w:id="2"/>
    <w:p w14:paraId="6CE3FABC" w14:textId="153D10F2" w:rsidR="0032105C" w:rsidRDefault="0032105C" w:rsidP="00ED3C2F">
      <w:pPr>
        <w:pStyle w:val="ListParaNoIndent"/>
        <w:widowControl w:val="0"/>
        <w:spacing w:before="240" w:after="0"/>
        <w:jc w:val="center"/>
        <w:rPr>
          <w:b/>
          <w:color w:val="212121"/>
          <w:u w:val="single"/>
        </w:rPr>
      </w:pPr>
      <w:r>
        <w:rPr>
          <w:b/>
          <w:color w:val="212121"/>
          <w:u w:val="single"/>
        </w:rPr>
        <w:t xml:space="preserve">CONCLUSION </w:t>
      </w:r>
    </w:p>
    <w:p w14:paraId="10AE527D" w14:textId="12915B2C" w:rsidR="007E6BA7" w:rsidRPr="000F5A5E" w:rsidRDefault="000F5A5E" w:rsidP="000F5A5E">
      <w:pPr>
        <w:pStyle w:val="ListParaNoIndent"/>
        <w:widowControl w:val="0"/>
        <w:numPr>
          <w:ilvl w:val="0"/>
          <w:numId w:val="18"/>
        </w:numPr>
        <w:spacing w:after="0"/>
        <w:rPr>
          <w:b/>
          <w:color w:val="212121"/>
          <w:u w:val="single"/>
        </w:rPr>
      </w:pPr>
      <w:r>
        <w:rPr>
          <w:bCs/>
          <w:color w:val="212121"/>
        </w:rPr>
        <w:t>Follow the 3 step analysis</w:t>
      </w:r>
    </w:p>
    <w:p w14:paraId="19443F03" w14:textId="77777777" w:rsidR="000F5A5E" w:rsidRDefault="000F5A5E" w:rsidP="000F5A5E">
      <w:pPr>
        <w:pStyle w:val="ListParaNoIndent"/>
        <w:widowControl w:val="0"/>
        <w:numPr>
          <w:ilvl w:val="0"/>
          <w:numId w:val="18"/>
        </w:numPr>
        <w:spacing w:after="0"/>
      </w:pPr>
      <w:r>
        <w:t xml:space="preserve">A </w:t>
      </w:r>
      <w:r w:rsidRPr="002A5305">
        <w:rPr>
          <w:b/>
          <w:bCs/>
          <w:i/>
          <w:iCs/>
        </w:rPr>
        <w:t>three-step</w:t>
      </w:r>
      <w:r>
        <w:t xml:space="preserve"> process must be used. The opponent of a peremptory challenge must: </w:t>
      </w:r>
    </w:p>
    <w:p w14:paraId="6A322716" w14:textId="77777777" w:rsidR="000F5A5E" w:rsidRDefault="000F5A5E" w:rsidP="000F5A5E">
      <w:pPr>
        <w:pStyle w:val="ListParaNoIndent"/>
        <w:widowControl w:val="0"/>
        <w:numPr>
          <w:ilvl w:val="1"/>
          <w:numId w:val="18"/>
        </w:numPr>
        <w:spacing w:after="0"/>
      </w:pPr>
      <w:r>
        <w:t>first make a prima facie showing of racial discrimination;</w:t>
      </w:r>
      <w:r>
        <w:rPr>
          <w:rStyle w:val="EndnoteReference"/>
        </w:rPr>
        <w:endnoteReference w:id="38"/>
      </w:r>
      <w:r>
        <w:t xml:space="preserve"> </w:t>
      </w:r>
    </w:p>
    <w:p w14:paraId="21125E65" w14:textId="77777777" w:rsidR="000F5A5E" w:rsidRDefault="000F5A5E" w:rsidP="000F5A5E">
      <w:pPr>
        <w:pStyle w:val="ListParaNoIndent"/>
        <w:widowControl w:val="0"/>
        <w:numPr>
          <w:ilvl w:val="1"/>
          <w:numId w:val="18"/>
        </w:numPr>
        <w:spacing w:after="0"/>
      </w:pPr>
      <w:r>
        <w:t xml:space="preserve">the burden of production then shifts to the proponent of the strike to give a </w:t>
      </w:r>
      <w:r>
        <w:lastRenderedPageBreak/>
        <w:t xml:space="preserve">race-neutral reason for the strike (considering the totality of the circumstances); and </w:t>
      </w:r>
    </w:p>
    <w:p w14:paraId="6D6365C6" w14:textId="58BC15A4" w:rsidR="000F5A5E" w:rsidRPr="007E6BA7" w:rsidRDefault="000F5A5E" w:rsidP="00BF3E73">
      <w:pPr>
        <w:pStyle w:val="ListParaNoIndent"/>
        <w:widowControl w:val="0"/>
        <w:numPr>
          <w:ilvl w:val="1"/>
          <w:numId w:val="18"/>
        </w:numPr>
        <w:spacing w:after="0"/>
        <w:rPr>
          <w:b/>
          <w:color w:val="212121"/>
          <w:u w:val="single"/>
        </w:rPr>
      </w:pPr>
      <w:r>
        <w:t>the trial court then decides whether the opponent of the strike has proven discriminatory intent.</w:t>
      </w:r>
      <w:r>
        <w:rPr>
          <w:rStyle w:val="EndnoteReference"/>
        </w:rPr>
        <w:endnoteReference w:id="39"/>
      </w:r>
    </w:p>
    <w:p w14:paraId="7FDA5D51" w14:textId="7C5CB4A7" w:rsidR="007E6BA7" w:rsidRPr="007E6BA7" w:rsidRDefault="00BF3E73" w:rsidP="00ED3C2F">
      <w:pPr>
        <w:pStyle w:val="ListParaNoIndent"/>
        <w:widowControl w:val="0"/>
        <w:numPr>
          <w:ilvl w:val="0"/>
          <w:numId w:val="18"/>
        </w:numPr>
        <w:spacing w:after="0"/>
        <w:rPr>
          <w:b/>
          <w:color w:val="212121"/>
          <w:u w:val="single"/>
        </w:rPr>
      </w:pPr>
      <w:r>
        <w:rPr>
          <w:bCs/>
          <w:color w:val="212121"/>
        </w:rPr>
        <w:t>Take your time and allow the process to play out (i.e. do not rule that a proffered race-neutral reason is valid or invalid until you hear all of the proffered reasons</w:t>
      </w:r>
    </w:p>
    <w:p w14:paraId="52F9848C" w14:textId="0D251FAE" w:rsidR="000575DA" w:rsidRDefault="00BF3E73" w:rsidP="00ED3C2F">
      <w:pPr>
        <w:pStyle w:val="ListParaNoIndent"/>
        <w:widowControl w:val="0"/>
        <w:numPr>
          <w:ilvl w:val="0"/>
          <w:numId w:val="18"/>
        </w:numPr>
        <w:spacing w:after="0"/>
        <w:rPr>
          <w:bCs/>
          <w:color w:val="212121"/>
        </w:rPr>
      </w:pPr>
      <w:r w:rsidRPr="00CD3C7A">
        <w:rPr>
          <w:bCs/>
          <w:color w:val="212121"/>
        </w:rPr>
        <w:t xml:space="preserve">In Step 3, consider the totality of the circumstances </w:t>
      </w:r>
      <w:r w:rsidR="00CD3C7A" w:rsidRPr="00CD3C7A">
        <w:rPr>
          <w:bCs/>
          <w:color w:val="212121"/>
        </w:rPr>
        <w:t>such as whether other jurors similarly situated were allowed to serve.</w:t>
      </w:r>
    </w:p>
    <w:p w14:paraId="643D1440" w14:textId="646F9DAB" w:rsidR="00CD3C7A" w:rsidRDefault="00CD3C7A" w:rsidP="00ED3C2F">
      <w:pPr>
        <w:pStyle w:val="ListParaNoIndent"/>
        <w:widowControl w:val="0"/>
        <w:numPr>
          <w:ilvl w:val="0"/>
          <w:numId w:val="18"/>
        </w:numPr>
        <w:spacing w:after="0"/>
        <w:rPr>
          <w:bCs/>
          <w:color w:val="212121"/>
        </w:rPr>
      </w:pPr>
      <w:r>
        <w:rPr>
          <w:bCs/>
          <w:color w:val="212121"/>
        </w:rPr>
        <w:t>Make your findings clearly and show that you know and are following the 3 step process.</w:t>
      </w:r>
    </w:p>
    <w:p w14:paraId="290083DC" w14:textId="10C34822" w:rsidR="00CD3C7A" w:rsidRDefault="00CD3C7A" w:rsidP="00CD3C7A">
      <w:pPr>
        <w:pStyle w:val="ListParaNoIndent"/>
        <w:widowControl w:val="0"/>
        <w:numPr>
          <w:ilvl w:val="1"/>
          <w:numId w:val="18"/>
        </w:numPr>
        <w:spacing w:after="0"/>
        <w:rPr>
          <w:bCs/>
          <w:color w:val="212121"/>
        </w:rPr>
      </w:pPr>
      <w:r>
        <w:rPr>
          <w:bCs/>
          <w:color w:val="212121"/>
        </w:rPr>
        <w:t>Credibility of the lawyers, their demeanor, etc. are all valid considerations</w:t>
      </w:r>
    </w:p>
    <w:p w14:paraId="2EB2F5D0" w14:textId="19F6DCE5" w:rsidR="00CD3C7A" w:rsidRDefault="00CD3C7A" w:rsidP="00CD3C7A">
      <w:pPr>
        <w:pStyle w:val="ListParaNoIndent"/>
        <w:widowControl w:val="0"/>
        <w:numPr>
          <w:ilvl w:val="0"/>
          <w:numId w:val="18"/>
        </w:numPr>
        <w:spacing w:after="0"/>
        <w:rPr>
          <w:bCs/>
          <w:color w:val="212121"/>
        </w:rPr>
      </w:pPr>
      <w:r>
        <w:rPr>
          <w:bCs/>
          <w:color w:val="212121"/>
        </w:rPr>
        <w:t>If there is a violation, decide how to best remedy the situation</w:t>
      </w:r>
    </w:p>
    <w:p w14:paraId="2E84EE1A" w14:textId="1C9FFF55" w:rsidR="00CD3C7A" w:rsidRDefault="00CD3C7A" w:rsidP="00CD3C7A">
      <w:pPr>
        <w:pStyle w:val="ListParaNoIndent"/>
        <w:widowControl w:val="0"/>
        <w:numPr>
          <w:ilvl w:val="1"/>
          <w:numId w:val="18"/>
        </w:numPr>
        <w:spacing w:after="0"/>
        <w:rPr>
          <w:bCs/>
          <w:color w:val="212121"/>
        </w:rPr>
      </w:pPr>
      <w:r>
        <w:rPr>
          <w:bCs/>
          <w:color w:val="212121"/>
        </w:rPr>
        <w:t>Not a bad idea to ask the parties how they suggest you remedy the violation</w:t>
      </w:r>
    </w:p>
    <w:p w14:paraId="41131EE5" w14:textId="77777777" w:rsidR="00825A17" w:rsidRDefault="00825A17" w:rsidP="00825A17">
      <w:pPr>
        <w:pStyle w:val="ListParaNoIndent"/>
        <w:widowControl w:val="0"/>
        <w:pBdr>
          <w:bottom w:val="single" w:sz="4" w:space="1" w:color="auto"/>
        </w:pBdr>
        <w:spacing w:after="0"/>
        <w:rPr>
          <w:bCs/>
          <w:color w:val="212121"/>
        </w:rPr>
      </w:pPr>
      <w:bookmarkStart w:id="3" w:name="_GoBack"/>
      <w:bookmarkEnd w:id="3"/>
    </w:p>
    <w:p w14:paraId="3688AFBB" w14:textId="77777777" w:rsidR="00CD3C7A" w:rsidRPr="00CD3C7A" w:rsidRDefault="00CD3C7A" w:rsidP="00CD3C7A">
      <w:pPr>
        <w:pStyle w:val="ListParaNoIndent"/>
        <w:widowControl w:val="0"/>
        <w:spacing w:after="0"/>
        <w:ind w:left="432"/>
        <w:rPr>
          <w:bCs/>
          <w:color w:val="212121"/>
        </w:rPr>
      </w:pPr>
    </w:p>
    <w:p w14:paraId="442D6D60" w14:textId="24AC2AA4" w:rsidR="00ED3C2F" w:rsidRPr="00ED3C2F" w:rsidRDefault="00ED3C2F" w:rsidP="00ED3C2F">
      <w:pPr>
        <w:pStyle w:val="ListParaNoIndent"/>
        <w:widowControl w:val="0"/>
        <w:numPr>
          <w:ilvl w:val="0"/>
          <w:numId w:val="18"/>
        </w:numPr>
        <w:spacing w:after="0"/>
        <w:rPr>
          <w:b/>
          <w:color w:val="212121"/>
          <w:u w:val="single"/>
        </w:rPr>
      </w:pPr>
      <w:r>
        <w:rPr>
          <w:bCs/>
          <w:color w:val="212121"/>
        </w:rPr>
        <w:t xml:space="preserve">Thanks for listening and remember that we post outlines of these podcasts on our website, goodjudgepod.com  </w:t>
      </w:r>
    </w:p>
    <w:p w14:paraId="7BECA839" w14:textId="3ABD81F0" w:rsidR="00ED3C2F" w:rsidRDefault="00ED3C2F" w:rsidP="00ED3C2F">
      <w:pPr>
        <w:pStyle w:val="ListParaNoIndent"/>
        <w:widowControl w:val="0"/>
        <w:numPr>
          <w:ilvl w:val="0"/>
          <w:numId w:val="18"/>
        </w:numPr>
        <w:spacing w:after="0"/>
        <w:rPr>
          <w:b/>
          <w:color w:val="212121"/>
          <w:u w:val="single"/>
        </w:rPr>
      </w:pPr>
      <w:r>
        <w:rPr>
          <w:bCs/>
          <w:color w:val="212121"/>
        </w:rPr>
        <w:t xml:space="preserve">We would really appreciate it if you would rate and review the podcast and tell </w:t>
      </w:r>
      <w:r>
        <w:rPr>
          <w:bCs/>
          <w:color w:val="212121"/>
        </w:rPr>
        <w:lastRenderedPageBreak/>
        <w:t xml:space="preserve">us how we are doing.  We realize we will never be a </w:t>
      </w:r>
      <w:r w:rsidR="00722AC5">
        <w:rPr>
          <w:bCs/>
          <w:color w:val="212121"/>
        </w:rPr>
        <w:t>“most followed” podcast but it does help us know how to improve and how to better serve you.</w:t>
      </w:r>
    </w:p>
    <w:p w14:paraId="39833D0B" w14:textId="77777777" w:rsidR="006B5F86" w:rsidRPr="00F815E6" w:rsidRDefault="006B5F86" w:rsidP="00ED3C2F">
      <w:pPr>
        <w:pStyle w:val="ListParaNoIndent"/>
        <w:widowControl w:val="0"/>
        <w:spacing w:before="240" w:after="0"/>
        <w:jc w:val="center"/>
        <w:rPr>
          <w:color w:val="212121"/>
        </w:rPr>
      </w:pPr>
    </w:p>
    <w:p w14:paraId="6821CF14" w14:textId="21A20B6A" w:rsidR="0010548B" w:rsidRDefault="0010548B" w:rsidP="00ED3C2F">
      <w:pPr>
        <w:pStyle w:val="ListParaNoIndent"/>
        <w:widowControl w:val="0"/>
        <w:spacing w:after="0"/>
      </w:pPr>
    </w:p>
    <w:p w14:paraId="4332D1C7" w14:textId="63BA2580" w:rsidR="00BF07BD" w:rsidRPr="00BF07BD" w:rsidRDefault="00F815E6" w:rsidP="00ED3C2F">
      <w:pPr>
        <w:widowControl w:val="0"/>
        <w:spacing w:after="0" w:line="480" w:lineRule="auto"/>
        <w:ind w:firstLine="0"/>
        <w:jc w:val="center"/>
        <w:rPr>
          <w:b/>
          <w:color w:val="212121"/>
          <w:u w:val="single"/>
        </w:rPr>
      </w:pPr>
      <w:r>
        <w:br w:type="page"/>
      </w:r>
      <w:r w:rsidR="00BF07BD">
        <w:rPr>
          <w:b/>
          <w:color w:val="212121"/>
          <w:u w:val="single"/>
        </w:rPr>
        <w:lastRenderedPageBreak/>
        <w:t>ENDNOTES</w:t>
      </w:r>
    </w:p>
    <w:sectPr w:rsidR="00BF07BD" w:rsidRPr="00BF07BD">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3C684" w14:textId="77777777" w:rsidR="0099232C" w:rsidRDefault="0099232C" w:rsidP="003F5555">
      <w:pPr>
        <w:spacing w:after="0" w:line="240" w:lineRule="auto"/>
      </w:pPr>
      <w:r>
        <w:separator/>
      </w:r>
    </w:p>
  </w:endnote>
  <w:endnote w:type="continuationSeparator" w:id="0">
    <w:p w14:paraId="3D67C278" w14:textId="77777777" w:rsidR="0099232C" w:rsidRDefault="0099232C" w:rsidP="003F5555">
      <w:pPr>
        <w:spacing w:after="0" w:line="240" w:lineRule="auto"/>
      </w:pPr>
      <w:r>
        <w:continuationSeparator/>
      </w:r>
    </w:p>
  </w:endnote>
  <w:endnote w:id="1">
    <w:p w14:paraId="274E777F" w14:textId="39CFFD11" w:rsidR="000B0C5F" w:rsidRDefault="000B0C5F">
      <w:pPr>
        <w:pStyle w:val="EndnoteText"/>
      </w:pPr>
      <w:r>
        <w:rPr>
          <w:rStyle w:val="EndnoteReference"/>
        </w:rPr>
        <w:endnoteRef/>
      </w:r>
      <w:r>
        <w:t xml:space="preserve"> </w:t>
      </w:r>
      <w:r w:rsidRPr="000B0C5F">
        <w:rPr>
          <w:i/>
        </w:rPr>
        <w:t>Batson v. Kentucky</w:t>
      </w:r>
      <w:r w:rsidRPr="000B0C5F">
        <w:t>, 476 U.S. 79 (1986).</w:t>
      </w:r>
    </w:p>
  </w:endnote>
  <w:endnote w:id="2">
    <w:p w14:paraId="403CA730" w14:textId="426FF902" w:rsidR="000B0C5F" w:rsidRDefault="000B0C5F">
      <w:pPr>
        <w:pStyle w:val="EndnoteText"/>
      </w:pPr>
      <w:r>
        <w:rPr>
          <w:rStyle w:val="EndnoteReference"/>
        </w:rPr>
        <w:endnoteRef/>
      </w:r>
      <w:r>
        <w:t xml:space="preserve"> </w:t>
      </w:r>
      <w:r w:rsidRPr="000B0C5F">
        <w:rPr>
          <w:i/>
        </w:rPr>
        <w:t>Georgia v. McCollum</w:t>
      </w:r>
      <w:r w:rsidRPr="000B0C5F">
        <w:t>, 505 U.S. 42 (1992).</w:t>
      </w:r>
    </w:p>
  </w:endnote>
  <w:endnote w:id="3">
    <w:p w14:paraId="5EA1AF48" w14:textId="7A26726E" w:rsidR="000B0C5F" w:rsidRDefault="000B0C5F">
      <w:pPr>
        <w:pStyle w:val="EndnoteText"/>
      </w:pPr>
      <w:r>
        <w:rPr>
          <w:rStyle w:val="EndnoteReference"/>
        </w:rPr>
        <w:endnoteRef/>
      </w:r>
      <w:r>
        <w:t xml:space="preserve"> </w:t>
      </w:r>
      <w:r w:rsidRPr="000B0C5F">
        <w:rPr>
          <w:i/>
        </w:rPr>
        <w:t>Edmonson v. Leesville Concrete</w:t>
      </w:r>
      <w:r w:rsidRPr="000B0C5F">
        <w:t xml:space="preserve">, 500 U.S. 614 (1991); </w:t>
      </w:r>
      <w:r w:rsidRPr="000B0C5F">
        <w:rPr>
          <w:i/>
        </w:rPr>
        <w:t>Strozier v. Clark</w:t>
      </w:r>
      <w:r w:rsidRPr="000B0C5F">
        <w:t>, 206 Ga App 85 (1992).</w:t>
      </w:r>
    </w:p>
  </w:endnote>
  <w:endnote w:id="4">
    <w:p w14:paraId="278982CF" w14:textId="2CB6EA79" w:rsidR="00792E92" w:rsidRDefault="00792E92">
      <w:pPr>
        <w:pStyle w:val="EndnoteText"/>
      </w:pPr>
      <w:r>
        <w:rPr>
          <w:rStyle w:val="EndnoteReference"/>
        </w:rPr>
        <w:endnoteRef/>
      </w:r>
      <w:r>
        <w:t xml:space="preserve"> </w:t>
      </w:r>
      <w:proofErr w:type="spellStart"/>
      <w:r w:rsidRPr="00792E92">
        <w:rPr>
          <w:i/>
        </w:rPr>
        <w:t>J.E.B</w:t>
      </w:r>
      <w:proofErr w:type="spellEnd"/>
      <w:r w:rsidRPr="00792E92">
        <w:rPr>
          <w:i/>
        </w:rPr>
        <w:t>. v. Alabama</w:t>
      </w:r>
      <w:r w:rsidRPr="00792E92">
        <w:t>, 511 U.S. 127 (1994)</w:t>
      </w:r>
      <w:r>
        <w:t xml:space="preserve">; </w:t>
      </w:r>
      <w:proofErr w:type="spellStart"/>
      <w:r w:rsidRPr="00792E92">
        <w:rPr>
          <w:i/>
        </w:rPr>
        <w:t>McGlohon</w:t>
      </w:r>
      <w:proofErr w:type="spellEnd"/>
      <w:r w:rsidRPr="00792E92">
        <w:rPr>
          <w:i/>
        </w:rPr>
        <w:t xml:space="preserve"> v. State</w:t>
      </w:r>
      <w:r w:rsidRPr="00792E92">
        <w:t xml:space="preserve">, 228 Ga. App. 726 (1997); </w:t>
      </w:r>
      <w:r w:rsidRPr="00792E92">
        <w:rPr>
          <w:i/>
        </w:rPr>
        <w:t>Henderson v. State</w:t>
      </w:r>
      <w:r w:rsidRPr="00792E92">
        <w:t>, 320 Ga. App. 553 (2013).</w:t>
      </w:r>
    </w:p>
  </w:endnote>
  <w:endnote w:id="5">
    <w:p w14:paraId="354AB022" w14:textId="77777777" w:rsidR="00A02BEE" w:rsidRPr="000366EC" w:rsidRDefault="00A02BEE" w:rsidP="00A02BEE">
      <w:pPr>
        <w:pStyle w:val="EndnoteText"/>
      </w:pPr>
      <w:r>
        <w:rPr>
          <w:rStyle w:val="EndnoteReference"/>
        </w:rPr>
        <w:endnoteRef/>
      </w:r>
      <w:r>
        <w:t xml:space="preserve"> </w:t>
      </w:r>
      <w:r>
        <w:rPr>
          <w:i/>
        </w:rPr>
        <w:t>Nelson v. State</w:t>
      </w:r>
      <w:r>
        <w:t>, 289 Ga. App. 326, 333 (2008).</w:t>
      </w:r>
    </w:p>
  </w:endnote>
  <w:endnote w:id="6">
    <w:p w14:paraId="32DF25E5" w14:textId="77777777" w:rsidR="00E53940" w:rsidRDefault="00E53940" w:rsidP="00E53940">
      <w:pPr>
        <w:pStyle w:val="EndnoteText"/>
      </w:pPr>
      <w:r>
        <w:rPr>
          <w:rStyle w:val="EndnoteReference"/>
        </w:rPr>
        <w:endnoteRef/>
      </w:r>
      <w:r>
        <w:t xml:space="preserve"> “</w:t>
      </w:r>
      <w:r w:rsidRPr="00D27778">
        <w:t>The same standards used for determining claims of race discrimination in jury selection are used for gender discrimination claims.</w:t>
      </w:r>
      <w:r>
        <w:t xml:space="preserve">”  </w:t>
      </w:r>
      <w:proofErr w:type="spellStart"/>
      <w:r w:rsidRPr="0039408F">
        <w:rPr>
          <w:i/>
        </w:rPr>
        <w:t>McGlohon</w:t>
      </w:r>
      <w:proofErr w:type="spellEnd"/>
      <w:r w:rsidRPr="0039408F">
        <w:rPr>
          <w:i/>
        </w:rPr>
        <w:t xml:space="preserve"> v. State</w:t>
      </w:r>
      <w:r w:rsidRPr="0039408F">
        <w:t>, 228 Ga. App. 726 (1997)</w:t>
      </w:r>
      <w:r>
        <w:t>.</w:t>
      </w:r>
    </w:p>
  </w:endnote>
  <w:endnote w:id="7">
    <w:p w14:paraId="4675A75A" w14:textId="77777777" w:rsidR="00A02BEE" w:rsidRPr="00C56289" w:rsidRDefault="00A02BEE" w:rsidP="00A02BEE">
      <w:pPr>
        <w:pStyle w:val="EndnoteText"/>
      </w:pPr>
      <w:r>
        <w:rPr>
          <w:rStyle w:val="EndnoteReference"/>
        </w:rPr>
        <w:endnoteRef/>
      </w:r>
      <w:r>
        <w:t xml:space="preserve"> </w:t>
      </w:r>
      <w:r>
        <w:rPr>
          <w:i/>
        </w:rPr>
        <w:t>Littlejohn v. State</w:t>
      </w:r>
      <w:r>
        <w:t>, 320 Ga. App. 197, 200 (2013).</w:t>
      </w:r>
    </w:p>
  </w:endnote>
  <w:endnote w:id="8">
    <w:p w14:paraId="4FB31C1A" w14:textId="65D403A6" w:rsidR="009E51C4" w:rsidRDefault="009E51C4">
      <w:pPr>
        <w:pStyle w:val="EndnoteText"/>
      </w:pPr>
      <w:r>
        <w:rPr>
          <w:rStyle w:val="EndnoteReference"/>
        </w:rPr>
        <w:endnoteRef/>
      </w:r>
      <w:r>
        <w:t xml:space="preserve"> </w:t>
      </w:r>
      <w:r w:rsidRPr="009E51C4">
        <w:rPr>
          <w:i/>
        </w:rPr>
        <w:t>Sharp v. Fagan</w:t>
      </w:r>
      <w:r w:rsidRPr="009E51C4">
        <w:t>, 215 Ga. App. 44, 45 (1994)</w:t>
      </w:r>
      <w:r>
        <w:t>.</w:t>
      </w:r>
    </w:p>
  </w:endnote>
  <w:endnote w:id="9">
    <w:p w14:paraId="568477E9" w14:textId="183754EF" w:rsidR="005F0C81" w:rsidRDefault="005F0C81">
      <w:pPr>
        <w:pStyle w:val="EndnoteText"/>
      </w:pPr>
      <w:r>
        <w:rPr>
          <w:rStyle w:val="EndnoteReference"/>
        </w:rPr>
        <w:endnoteRef/>
      </w:r>
      <w:r>
        <w:t xml:space="preserve"> </w:t>
      </w:r>
      <w:r w:rsidRPr="005F0C81">
        <w:rPr>
          <w:bCs/>
          <w:i/>
          <w:iCs/>
        </w:rPr>
        <w:t>Shaw v. State</w:t>
      </w:r>
      <w:r w:rsidRPr="005F0C81">
        <w:rPr>
          <w:bCs/>
        </w:rPr>
        <w:t>, 201 Ga. App. 438, 439 (1991).</w:t>
      </w:r>
    </w:p>
  </w:endnote>
  <w:endnote w:id="10">
    <w:p w14:paraId="26C27C16" w14:textId="77777777" w:rsidR="00AC0D29" w:rsidRDefault="00AC0D29" w:rsidP="00AC0D29">
      <w:pPr>
        <w:pStyle w:val="EndnoteText"/>
      </w:pPr>
      <w:r>
        <w:rPr>
          <w:rStyle w:val="EndnoteReference"/>
        </w:rPr>
        <w:endnoteRef/>
      </w:r>
      <w:r>
        <w:t xml:space="preserve"> If all preemptory challenges used to strike a particular race, a prima facie case has likely been made. </w:t>
      </w:r>
      <w:r w:rsidRPr="00233D0E">
        <w:rPr>
          <w:i/>
        </w:rPr>
        <w:t>Rose v. State</w:t>
      </w:r>
      <w:r>
        <w:t xml:space="preserve">, 287 Ga. 238, 240 (2010); </w:t>
      </w:r>
      <w:r w:rsidRPr="00233D0E">
        <w:rPr>
          <w:i/>
        </w:rPr>
        <w:t>Tillman v. State</w:t>
      </w:r>
      <w:r>
        <w:t>, 240 Ga. App. 78-79 (1999).</w:t>
      </w:r>
    </w:p>
  </w:endnote>
  <w:endnote w:id="11">
    <w:p w14:paraId="0E1F1A02" w14:textId="77777777" w:rsidR="00AC0D29" w:rsidRPr="00393282" w:rsidRDefault="00AC0D29" w:rsidP="00AC0D29">
      <w:pPr>
        <w:pStyle w:val="EndnoteText"/>
      </w:pPr>
      <w:r>
        <w:rPr>
          <w:rStyle w:val="EndnoteReference"/>
        </w:rPr>
        <w:endnoteRef/>
      </w:r>
      <w:r>
        <w:t xml:space="preserve"> </w:t>
      </w:r>
      <w:r>
        <w:rPr>
          <w:i/>
        </w:rPr>
        <w:t>Edwards v. State</w:t>
      </w:r>
      <w:r>
        <w:t>, 301 Ga. 822, 824-825 (2017)</w:t>
      </w:r>
    </w:p>
  </w:endnote>
  <w:endnote w:id="12">
    <w:p w14:paraId="36C64060" w14:textId="77777777" w:rsidR="00842066" w:rsidRDefault="00842066" w:rsidP="00842066">
      <w:pPr>
        <w:pStyle w:val="EndnoteText"/>
      </w:pPr>
      <w:r>
        <w:rPr>
          <w:rStyle w:val="EndnoteReference"/>
        </w:rPr>
        <w:endnoteRef/>
      </w:r>
      <w:r>
        <w:t xml:space="preserve"> </w:t>
      </w:r>
      <w:proofErr w:type="spellStart"/>
      <w:r w:rsidRPr="00233D0E">
        <w:rPr>
          <w:i/>
        </w:rPr>
        <w:t>Griffeth</w:t>
      </w:r>
      <w:proofErr w:type="spellEnd"/>
      <w:r w:rsidRPr="00233D0E">
        <w:rPr>
          <w:i/>
        </w:rPr>
        <w:t xml:space="preserve"> v. State</w:t>
      </w:r>
      <w:r>
        <w:t xml:space="preserve">, 224 Ga. App. 462, 463 (1997).  </w:t>
      </w:r>
      <w:r>
        <w:sym w:font="WP TypographicSymbols" w:char="0041"/>
      </w:r>
      <w:r>
        <w:t>[I]n the situation in which a racially-neutral reason for the strike is given, the trial court must ultimately decide the credibility of such explanation.  Thus although a trial judge must accept a facially race-neutral explanation for purposes of determining whether the proponent has satisfied his burden of production at stage two, this does not mean that the judge is bound to believe such explanation at stage three.</w:t>
      </w:r>
      <w:r>
        <w:sym w:font="WP TypographicSymbols" w:char="0040"/>
      </w:r>
      <w:r>
        <w:t xml:space="preserve"> </w:t>
      </w:r>
      <w:r w:rsidRPr="00233D0E">
        <w:rPr>
          <w:i/>
        </w:rPr>
        <w:t>Stokes v. State</w:t>
      </w:r>
      <w:r>
        <w:t xml:space="preserve">, 281 Ga. 825, 829 (2007); </w:t>
      </w:r>
      <w:r w:rsidRPr="00233D0E">
        <w:rPr>
          <w:i/>
        </w:rPr>
        <w:t>McKenzie v. State</w:t>
      </w:r>
      <w:r>
        <w:t xml:space="preserve">, 227 Ga. App. 778, 779 (1997); </w:t>
      </w:r>
      <w:r w:rsidRPr="00233D0E">
        <w:rPr>
          <w:i/>
        </w:rPr>
        <w:t>Brown v. State</w:t>
      </w:r>
      <w:r>
        <w:t>, 307 Ga. App. 797 (2011).</w:t>
      </w:r>
    </w:p>
  </w:endnote>
  <w:endnote w:id="13">
    <w:p w14:paraId="0AD721D6" w14:textId="77777777" w:rsidR="00E21780" w:rsidRPr="002E6BC6" w:rsidRDefault="00E21780" w:rsidP="00E21780">
      <w:pPr>
        <w:pStyle w:val="EndnoteText"/>
      </w:pPr>
      <w:r>
        <w:rPr>
          <w:rStyle w:val="EndnoteReference"/>
        </w:rPr>
        <w:endnoteRef/>
      </w:r>
      <w:r>
        <w:t xml:space="preserve"> </w:t>
      </w:r>
      <w:proofErr w:type="spellStart"/>
      <w:r>
        <w:rPr>
          <w:i/>
        </w:rPr>
        <w:t>Ananaba</w:t>
      </w:r>
      <w:proofErr w:type="spellEnd"/>
      <w:r>
        <w:rPr>
          <w:i/>
        </w:rPr>
        <w:t xml:space="preserve"> v. State</w:t>
      </w:r>
      <w:r>
        <w:t xml:space="preserve">, 325 Ga. App. 829, 830 (2014), citing </w:t>
      </w:r>
      <w:r>
        <w:rPr>
          <w:i/>
        </w:rPr>
        <w:t>Stacey v. State</w:t>
      </w:r>
      <w:r>
        <w:t>, 292 Ga. 838, 841 (2013).</w:t>
      </w:r>
    </w:p>
  </w:endnote>
  <w:endnote w:id="14">
    <w:p w14:paraId="78494BEC" w14:textId="77777777" w:rsidR="001C5AA3" w:rsidRPr="002809E3" w:rsidRDefault="001C5AA3" w:rsidP="001C5AA3">
      <w:pPr>
        <w:pStyle w:val="EndnoteText"/>
      </w:pPr>
      <w:r>
        <w:rPr>
          <w:rStyle w:val="EndnoteReference"/>
        </w:rPr>
        <w:endnoteRef/>
      </w:r>
      <w:r>
        <w:t xml:space="preserve"> </w:t>
      </w:r>
      <w:r>
        <w:rPr>
          <w:i/>
        </w:rPr>
        <w:t>Burkett v. State</w:t>
      </w:r>
      <w:r>
        <w:t>, 230 Ga. App. 676, 677 (1998).</w:t>
      </w:r>
    </w:p>
  </w:endnote>
  <w:endnote w:id="15">
    <w:p w14:paraId="31217066" w14:textId="77777777" w:rsidR="00F74103" w:rsidRPr="00F57470" w:rsidRDefault="00F74103" w:rsidP="00F74103">
      <w:pPr>
        <w:pStyle w:val="EndnoteText"/>
      </w:pPr>
      <w:r>
        <w:rPr>
          <w:rStyle w:val="EndnoteReference"/>
        </w:rPr>
        <w:endnoteRef/>
      </w:r>
      <w:r>
        <w:t xml:space="preserve"> </w:t>
      </w:r>
      <w:r>
        <w:rPr>
          <w:i/>
        </w:rPr>
        <w:t>Culver v. State</w:t>
      </w:r>
      <w:r>
        <w:t xml:space="preserve">, 314 Ga. App. 492, 493 (2012), citing </w:t>
      </w:r>
      <w:r>
        <w:rPr>
          <w:i/>
        </w:rPr>
        <w:t>Bass v. State</w:t>
      </w:r>
      <w:r>
        <w:t>, 271 Ga. App. 228, 231 (2006).</w:t>
      </w:r>
    </w:p>
  </w:endnote>
  <w:endnote w:id="16">
    <w:p w14:paraId="0BCD3CB7" w14:textId="0E755E75" w:rsidR="00F74103" w:rsidRDefault="00F74103">
      <w:pPr>
        <w:pStyle w:val="EndnoteText"/>
      </w:pPr>
      <w:r>
        <w:rPr>
          <w:rStyle w:val="EndnoteReference"/>
        </w:rPr>
        <w:endnoteRef/>
      </w:r>
      <w:r>
        <w:t xml:space="preserve"> </w:t>
      </w:r>
      <w:r w:rsidRPr="00F74103">
        <w:rPr>
          <w:i/>
        </w:rPr>
        <w:t>Toomer v. State</w:t>
      </w:r>
      <w:r w:rsidRPr="00F74103">
        <w:t xml:space="preserve">, 230 Ga. 49, 53-54 (2012), citing </w:t>
      </w:r>
      <w:r w:rsidRPr="00F74103">
        <w:rPr>
          <w:i/>
        </w:rPr>
        <w:t>Snyder v. Louisiana</w:t>
      </w:r>
      <w:r w:rsidRPr="00F74103">
        <w:t xml:space="preserve">, 552 U.S. 472, 476 (2008) and </w:t>
      </w:r>
      <w:r w:rsidRPr="00F74103">
        <w:rPr>
          <w:i/>
        </w:rPr>
        <w:t>Arrington v. State</w:t>
      </w:r>
      <w:r w:rsidRPr="00F74103">
        <w:t>, 286 Ga. 335, 340 (2009).</w:t>
      </w:r>
    </w:p>
  </w:endnote>
  <w:endnote w:id="17">
    <w:p w14:paraId="7358E1F4" w14:textId="77777777" w:rsidR="003373EA" w:rsidRPr="00F57470" w:rsidRDefault="003373EA" w:rsidP="003373EA">
      <w:pPr>
        <w:pStyle w:val="EndnoteText"/>
      </w:pPr>
      <w:r>
        <w:rPr>
          <w:rStyle w:val="EndnoteReference"/>
        </w:rPr>
        <w:endnoteRef/>
      </w:r>
      <w:r>
        <w:t xml:space="preserve"> </w:t>
      </w:r>
      <w:r>
        <w:rPr>
          <w:i/>
        </w:rPr>
        <w:t>Toomer v. State</w:t>
      </w:r>
      <w:r>
        <w:t xml:space="preserve">, 292 Ga. 49, 57 (2012), citing </w:t>
      </w:r>
      <w:r>
        <w:rPr>
          <w:i/>
        </w:rPr>
        <w:t>Walton v. State</w:t>
      </w:r>
      <w:r>
        <w:t>, 267 Ga. 713 (1997).</w:t>
      </w:r>
    </w:p>
  </w:endnote>
  <w:endnote w:id="18">
    <w:p w14:paraId="1FBCE303" w14:textId="571A410F" w:rsidR="00EC325A" w:rsidRDefault="00EC325A">
      <w:pPr>
        <w:pStyle w:val="EndnoteText"/>
      </w:pPr>
      <w:r>
        <w:rPr>
          <w:rStyle w:val="EndnoteReference"/>
        </w:rPr>
        <w:endnoteRef/>
      </w:r>
      <w:r>
        <w:t xml:space="preserve"> </w:t>
      </w:r>
      <w:r w:rsidRPr="00EC325A">
        <w:rPr>
          <w:i/>
        </w:rPr>
        <w:t>Stokes v. State</w:t>
      </w:r>
      <w:r w:rsidRPr="00EC325A">
        <w:t xml:space="preserve">, 281 Ga. 825, 829 (2007); </w:t>
      </w:r>
      <w:r w:rsidRPr="00EC325A">
        <w:rPr>
          <w:i/>
        </w:rPr>
        <w:t>McKenzie v. State</w:t>
      </w:r>
      <w:r w:rsidRPr="00EC325A">
        <w:t xml:space="preserve">, 227 Ga. App. 778, 779 (1997); </w:t>
      </w:r>
      <w:r w:rsidRPr="00EC325A">
        <w:rPr>
          <w:i/>
        </w:rPr>
        <w:t>Brown v. State</w:t>
      </w:r>
      <w:r w:rsidRPr="00EC325A">
        <w:t>, 307 Ga. App. 797 (2011).</w:t>
      </w:r>
    </w:p>
  </w:endnote>
  <w:endnote w:id="19">
    <w:p w14:paraId="4CE3CF3D" w14:textId="1467AE74" w:rsidR="0011188D" w:rsidRDefault="0011188D">
      <w:pPr>
        <w:pStyle w:val="EndnoteText"/>
      </w:pPr>
      <w:r>
        <w:rPr>
          <w:rStyle w:val="EndnoteReference"/>
        </w:rPr>
        <w:endnoteRef/>
      </w:r>
      <w:r>
        <w:t xml:space="preserve"> </w:t>
      </w:r>
      <w:r w:rsidRPr="0011188D">
        <w:rPr>
          <w:i/>
        </w:rPr>
        <w:t>Toomer v. State</w:t>
      </w:r>
      <w:r w:rsidRPr="0011188D">
        <w:t>, 292 Ga. 49, 55 (2012).</w:t>
      </w:r>
    </w:p>
  </w:endnote>
  <w:endnote w:id="20">
    <w:p w14:paraId="698E3853" w14:textId="77777777" w:rsidR="00EF5934" w:rsidRPr="00D22FB2" w:rsidRDefault="00EF5934" w:rsidP="00EF5934">
      <w:pPr>
        <w:pStyle w:val="EndnoteText"/>
      </w:pPr>
      <w:r>
        <w:rPr>
          <w:rStyle w:val="EndnoteReference"/>
        </w:rPr>
        <w:endnoteRef/>
      </w:r>
      <w:r>
        <w:t xml:space="preserve"> </w:t>
      </w:r>
      <w:r>
        <w:rPr>
          <w:i/>
        </w:rPr>
        <w:t>Culver v. State</w:t>
      </w:r>
      <w:r>
        <w:t>, 314 Ga. App. 492, 493-494 (2012).</w:t>
      </w:r>
    </w:p>
  </w:endnote>
  <w:endnote w:id="21">
    <w:p w14:paraId="033FF39D" w14:textId="77777777" w:rsidR="00EF5934" w:rsidRPr="00F37220" w:rsidRDefault="00EF5934" w:rsidP="00EF5934">
      <w:pPr>
        <w:pStyle w:val="EndnoteText"/>
      </w:pPr>
      <w:r>
        <w:rPr>
          <w:rStyle w:val="EndnoteReference"/>
        </w:rPr>
        <w:endnoteRef/>
      </w:r>
      <w:r>
        <w:t xml:space="preserve"> </w:t>
      </w:r>
      <w:r>
        <w:rPr>
          <w:i/>
        </w:rPr>
        <w:t xml:space="preserve">Dunn v. </w:t>
      </w:r>
      <w:r w:rsidRPr="0090477E">
        <w:t>State</w:t>
      </w:r>
      <w:r>
        <w:t xml:space="preserve">, 304 Ga. 647, 652 (2018), citing </w:t>
      </w:r>
      <w:r>
        <w:rPr>
          <w:i/>
        </w:rPr>
        <w:t>Rose v. State</w:t>
      </w:r>
      <w:r>
        <w:t>, 287 Ga. 238, 241 (2010).</w:t>
      </w:r>
    </w:p>
  </w:endnote>
  <w:endnote w:id="22">
    <w:p w14:paraId="269B30DF" w14:textId="77777777" w:rsidR="00EF5934" w:rsidRPr="00253BA7" w:rsidRDefault="00EF5934" w:rsidP="00EF5934">
      <w:pPr>
        <w:pStyle w:val="EndnoteText"/>
      </w:pPr>
      <w:r>
        <w:rPr>
          <w:rStyle w:val="EndnoteReference"/>
        </w:rPr>
        <w:endnoteRef/>
      </w:r>
      <w:r>
        <w:t xml:space="preserve"> </w:t>
      </w:r>
      <w:r>
        <w:rPr>
          <w:i/>
        </w:rPr>
        <w:t>Rose v. State</w:t>
      </w:r>
      <w:r>
        <w:t>, 287 Ga. 238, 241 (2010).</w:t>
      </w:r>
    </w:p>
  </w:endnote>
  <w:endnote w:id="23">
    <w:p w14:paraId="73501738" w14:textId="77777777" w:rsidR="00EF5934" w:rsidRPr="00256316" w:rsidRDefault="00EF5934" w:rsidP="00EF5934">
      <w:pPr>
        <w:pStyle w:val="EndnoteText"/>
      </w:pPr>
      <w:r>
        <w:rPr>
          <w:rStyle w:val="EndnoteReference"/>
        </w:rPr>
        <w:endnoteRef/>
      </w:r>
      <w:r>
        <w:t xml:space="preserve"> </w:t>
      </w:r>
      <w:r>
        <w:rPr>
          <w:i/>
        </w:rPr>
        <w:t>Toomer v. State</w:t>
      </w:r>
      <w:r>
        <w:t xml:space="preserve">, 292 Ga. 49, 53-54 (2012), citing </w:t>
      </w:r>
      <w:proofErr w:type="spellStart"/>
      <w:r w:rsidRPr="00256316">
        <w:rPr>
          <w:i/>
        </w:rPr>
        <w:t>Rakestrau</w:t>
      </w:r>
      <w:proofErr w:type="spellEnd"/>
      <w:r w:rsidRPr="00256316">
        <w:rPr>
          <w:i/>
        </w:rPr>
        <w:t xml:space="preserve"> v. State</w:t>
      </w:r>
      <w:r>
        <w:t>, 278 Ga. 872, 875 (2005).</w:t>
      </w:r>
    </w:p>
  </w:endnote>
  <w:endnote w:id="24">
    <w:p w14:paraId="7CB8468A" w14:textId="77777777" w:rsidR="003456BF" w:rsidRPr="00E22130" w:rsidRDefault="003456BF" w:rsidP="003456BF">
      <w:pPr>
        <w:pStyle w:val="EndnoteText"/>
      </w:pPr>
      <w:r>
        <w:rPr>
          <w:rStyle w:val="EndnoteReference"/>
        </w:rPr>
        <w:endnoteRef/>
      </w:r>
      <w:r>
        <w:t xml:space="preserve"> </w:t>
      </w:r>
      <w:r>
        <w:rPr>
          <w:i/>
        </w:rPr>
        <w:t>Clayton v. State</w:t>
      </w:r>
      <w:r>
        <w:t xml:space="preserve">, 341 Ga. App. 193, 197 (2017), citing </w:t>
      </w:r>
      <w:r>
        <w:rPr>
          <w:i/>
        </w:rPr>
        <w:t>Jackson v. State</w:t>
      </w:r>
      <w:r>
        <w:t>, 288 Ga. App. 339, 344 (2007).</w:t>
      </w:r>
    </w:p>
  </w:endnote>
  <w:endnote w:id="25">
    <w:p w14:paraId="468AC8D7" w14:textId="70CEEF13" w:rsidR="00EC325A" w:rsidRDefault="00EC325A">
      <w:pPr>
        <w:pStyle w:val="EndnoteText"/>
      </w:pPr>
      <w:r>
        <w:rPr>
          <w:rStyle w:val="EndnoteReference"/>
        </w:rPr>
        <w:endnoteRef/>
      </w:r>
      <w:r>
        <w:t xml:space="preserve"> </w:t>
      </w:r>
      <w:r w:rsidRPr="00EC325A">
        <w:rPr>
          <w:i/>
          <w:iCs/>
        </w:rPr>
        <w:t>Crawford v. State</w:t>
      </w:r>
      <w:r w:rsidRPr="00EC325A">
        <w:t>, 220 Ga. App. 786, 787 (1996).</w:t>
      </w:r>
    </w:p>
  </w:endnote>
  <w:endnote w:id="26">
    <w:p w14:paraId="44772793" w14:textId="77777777" w:rsidR="003456BF" w:rsidRDefault="003456BF" w:rsidP="003456BF">
      <w:pPr>
        <w:pStyle w:val="EndnoteText"/>
      </w:pPr>
      <w:r>
        <w:rPr>
          <w:rStyle w:val="EndnoteReference"/>
        </w:rPr>
        <w:endnoteRef/>
      </w:r>
      <w:r>
        <w:t xml:space="preserve"> </w:t>
      </w:r>
      <w:r>
        <w:rPr>
          <w:i/>
        </w:rPr>
        <w:t>Littlejohn v. State</w:t>
      </w:r>
      <w:r>
        <w:t>, 320 Ga. App. 197, 201 (2013).</w:t>
      </w:r>
    </w:p>
  </w:endnote>
  <w:endnote w:id="27">
    <w:p w14:paraId="2A360D97" w14:textId="60104D20" w:rsidR="003456BF" w:rsidRPr="00E22130" w:rsidRDefault="003456BF" w:rsidP="003456BF">
      <w:pPr>
        <w:pStyle w:val="EndnoteText"/>
      </w:pPr>
      <w:r>
        <w:rPr>
          <w:rStyle w:val="EndnoteReference"/>
        </w:rPr>
        <w:endnoteRef/>
      </w:r>
      <w:r>
        <w:t xml:space="preserve"> </w:t>
      </w:r>
      <w:r>
        <w:rPr>
          <w:i/>
        </w:rPr>
        <w:t>Alexander v. State</w:t>
      </w:r>
      <w:r>
        <w:t>, 273 Ga. 311, 32 (2001)</w:t>
      </w:r>
      <w:r w:rsidR="00815974">
        <w:t xml:space="preserve">; </w:t>
      </w:r>
      <w:proofErr w:type="spellStart"/>
      <w:r w:rsidR="00815974" w:rsidRPr="00815974">
        <w:rPr>
          <w:i/>
          <w:iCs/>
        </w:rPr>
        <w:t>Chunn</w:t>
      </w:r>
      <w:proofErr w:type="spellEnd"/>
      <w:r w:rsidR="00815974" w:rsidRPr="00815974">
        <w:rPr>
          <w:i/>
          <w:iCs/>
        </w:rPr>
        <w:t xml:space="preserve"> v. State</w:t>
      </w:r>
      <w:r w:rsidR="00815974" w:rsidRPr="00815974">
        <w:t>, 210 Ga. App. 209, 210 (1993)</w:t>
      </w:r>
      <w:r w:rsidR="00815974">
        <w:t xml:space="preserve">; </w:t>
      </w:r>
      <w:r w:rsidR="00815974" w:rsidRPr="00815974">
        <w:rPr>
          <w:i/>
          <w:iCs/>
        </w:rPr>
        <w:t>Dixon v. State</w:t>
      </w:r>
      <w:r w:rsidR="00815974" w:rsidRPr="00815974">
        <w:t>, 214 Ga. App. 374, 377 (1994)</w:t>
      </w:r>
      <w:r w:rsidR="00815974">
        <w:t>.</w:t>
      </w:r>
    </w:p>
  </w:endnote>
  <w:endnote w:id="28">
    <w:p w14:paraId="092C94BF" w14:textId="77777777" w:rsidR="003456BF" w:rsidRPr="001F34C7" w:rsidRDefault="003456BF" w:rsidP="003456BF">
      <w:pPr>
        <w:pStyle w:val="EndnoteText"/>
      </w:pPr>
      <w:r>
        <w:rPr>
          <w:rStyle w:val="EndnoteReference"/>
        </w:rPr>
        <w:endnoteRef/>
      </w:r>
      <w:r>
        <w:t xml:space="preserve"> </w:t>
      </w:r>
      <w:r>
        <w:rPr>
          <w:i/>
        </w:rPr>
        <w:t>Arrington v. State</w:t>
      </w:r>
      <w:r>
        <w:t>, 286 Ga. 335, 340 (2009).</w:t>
      </w:r>
    </w:p>
  </w:endnote>
  <w:endnote w:id="29">
    <w:p w14:paraId="6AC91168" w14:textId="5E019CB5" w:rsidR="00815974" w:rsidRDefault="00815974">
      <w:pPr>
        <w:pStyle w:val="EndnoteText"/>
      </w:pPr>
      <w:r>
        <w:rPr>
          <w:rStyle w:val="EndnoteReference"/>
        </w:rPr>
        <w:endnoteRef/>
      </w:r>
      <w:r>
        <w:t xml:space="preserve"> </w:t>
      </w:r>
      <w:r w:rsidRPr="00815974">
        <w:rPr>
          <w:i/>
          <w:iCs/>
        </w:rPr>
        <w:t>Stevens v. State</w:t>
      </w:r>
      <w:r w:rsidRPr="00815974">
        <w:t>, 245 Ga. App. 237, 239-240 (2000).</w:t>
      </w:r>
    </w:p>
  </w:endnote>
  <w:endnote w:id="30">
    <w:p w14:paraId="1A343D2D" w14:textId="77777777" w:rsidR="003456BF" w:rsidRPr="00D93B11" w:rsidRDefault="003456BF" w:rsidP="003456BF">
      <w:pPr>
        <w:pStyle w:val="EndnoteText"/>
      </w:pPr>
      <w:r>
        <w:rPr>
          <w:rStyle w:val="EndnoteReference"/>
        </w:rPr>
        <w:endnoteRef/>
      </w:r>
      <w:r>
        <w:t xml:space="preserve"> </w:t>
      </w:r>
      <w:r>
        <w:rPr>
          <w:i/>
        </w:rPr>
        <w:t>Clayton v. State</w:t>
      </w:r>
      <w:r>
        <w:t xml:space="preserve">, 341 Ga. App. 193, 197-198 (2017).  It should be noted that the Court in </w:t>
      </w:r>
      <w:r>
        <w:rPr>
          <w:i/>
        </w:rPr>
        <w:t>Clayton</w:t>
      </w:r>
      <w:r>
        <w:t xml:space="preserve"> acknowledged that the issue was not race-neutral but noted that characteristics such as tattoos, hair color or other, similar issues might be race-neutral.</w:t>
      </w:r>
    </w:p>
  </w:endnote>
  <w:endnote w:id="31">
    <w:p w14:paraId="611BADA1" w14:textId="77777777" w:rsidR="003456BF" w:rsidRPr="00067E14" w:rsidRDefault="003456BF" w:rsidP="003456BF">
      <w:pPr>
        <w:pStyle w:val="EndnoteText"/>
      </w:pPr>
      <w:r>
        <w:rPr>
          <w:rStyle w:val="EndnoteReference"/>
        </w:rPr>
        <w:endnoteRef/>
      </w:r>
      <w:r>
        <w:t xml:space="preserve"> </w:t>
      </w:r>
      <w:r>
        <w:rPr>
          <w:i/>
        </w:rPr>
        <w:t>Clayton v. State</w:t>
      </w:r>
      <w:r>
        <w:t>, 341 Ga. App. 193, 197-198 (2017).</w:t>
      </w:r>
    </w:p>
  </w:endnote>
  <w:endnote w:id="32">
    <w:p w14:paraId="0C8C0615" w14:textId="77777777" w:rsidR="003456BF" w:rsidRPr="00CB75C8" w:rsidRDefault="003456BF" w:rsidP="003456BF">
      <w:pPr>
        <w:pStyle w:val="EndnoteText"/>
      </w:pPr>
      <w:r>
        <w:rPr>
          <w:rStyle w:val="EndnoteReference"/>
        </w:rPr>
        <w:endnoteRef/>
      </w:r>
      <w:r>
        <w:t xml:space="preserve"> </w:t>
      </w:r>
      <w:r>
        <w:rPr>
          <w:i/>
        </w:rPr>
        <w:t>Clayton v. State</w:t>
      </w:r>
      <w:r>
        <w:t xml:space="preserve">, 341 Ga. App. 193, 197-198 (2017), citing </w:t>
      </w:r>
      <w:r>
        <w:rPr>
          <w:i/>
        </w:rPr>
        <w:t>Lingo v. State</w:t>
      </w:r>
      <w:r>
        <w:t>, 261 Ga. 664 (1993).</w:t>
      </w:r>
    </w:p>
  </w:endnote>
  <w:endnote w:id="33">
    <w:p w14:paraId="72D21078" w14:textId="77777777" w:rsidR="003456BF" w:rsidRDefault="003456BF" w:rsidP="003456BF">
      <w:pPr>
        <w:pStyle w:val="EndnoteText"/>
      </w:pPr>
      <w:r>
        <w:rPr>
          <w:rStyle w:val="EndnoteReference"/>
        </w:rPr>
        <w:endnoteRef/>
      </w:r>
      <w:r>
        <w:t xml:space="preserve"> </w:t>
      </w:r>
      <w:r>
        <w:rPr>
          <w:i/>
        </w:rPr>
        <w:t>Clayton v. State</w:t>
      </w:r>
      <w:r>
        <w:t>, 341 Ga. App. 193, 200 (2017).</w:t>
      </w:r>
    </w:p>
  </w:endnote>
  <w:endnote w:id="34">
    <w:p w14:paraId="58B5FC08" w14:textId="77777777" w:rsidR="003456BF" w:rsidRDefault="003456BF" w:rsidP="003456BF">
      <w:pPr>
        <w:pStyle w:val="EndnoteText"/>
      </w:pPr>
      <w:r>
        <w:rPr>
          <w:rStyle w:val="EndnoteReference"/>
        </w:rPr>
        <w:endnoteRef/>
      </w:r>
      <w:r>
        <w:t xml:space="preserve"> </w:t>
      </w:r>
      <w:r>
        <w:rPr>
          <w:i/>
        </w:rPr>
        <w:t>Culver v. State</w:t>
      </w:r>
      <w:r>
        <w:t>, 314 Ga. App. 492, 494 (2012).</w:t>
      </w:r>
    </w:p>
  </w:endnote>
  <w:endnote w:id="35">
    <w:p w14:paraId="246EB5CD" w14:textId="77777777" w:rsidR="000F5A5E" w:rsidRDefault="000F5A5E" w:rsidP="000F5A5E">
      <w:pPr>
        <w:pStyle w:val="EndnoteText"/>
      </w:pPr>
      <w:r>
        <w:rPr>
          <w:rStyle w:val="EndnoteReference"/>
        </w:rPr>
        <w:endnoteRef/>
      </w:r>
      <w:r>
        <w:t xml:space="preserve"> </w:t>
      </w:r>
      <w:r w:rsidRPr="00233D0E">
        <w:rPr>
          <w:i/>
        </w:rPr>
        <w:t>Stokes v. State</w:t>
      </w:r>
      <w:r>
        <w:t xml:space="preserve">, 281 Ga. 825, 829 (2007); </w:t>
      </w:r>
      <w:r w:rsidRPr="00BF54A6">
        <w:rPr>
          <w:i/>
        </w:rPr>
        <w:t>Holmes v. State</w:t>
      </w:r>
      <w:r>
        <w:t xml:space="preserve">, 273 Ga. 644, 645-646 (2001); </w:t>
      </w:r>
      <w:r w:rsidRPr="00233D0E">
        <w:rPr>
          <w:i/>
        </w:rPr>
        <w:t>Brown v. State</w:t>
      </w:r>
      <w:r>
        <w:t>, 307 Ga. App. 797 (2011).</w:t>
      </w:r>
    </w:p>
  </w:endnote>
  <w:endnote w:id="36">
    <w:p w14:paraId="46414ED1" w14:textId="77777777" w:rsidR="000F5A5E" w:rsidRDefault="000F5A5E" w:rsidP="000F5A5E">
      <w:pPr>
        <w:pStyle w:val="EndnoteText"/>
      </w:pPr>
      <w:r>
        <w:rPr>
          <w:rStyle w:val="EndnoteReference"/>
        </w:rPr>
        <w:endnoteRef/>
      </w:r>
      <w:r>
        <w:t xml:space="preserve"> </w:t>
      </w:r>
      <w:r w:rsidRPr="00BF54A6">
        <w:rPr>
          <w:i/>
        </w:rPr>
        <w:t>Eppinger v. State</w:t>
      </w:r>
      <w:r>
        <w:t>, 231 Ga. App. 614, 616 (1998).</w:t>
      </w:r>
    </w:p>
  </w:endnote>
  <w:endnote w:id="37">
    <w:p w14:paraId="52797D7E" w14:textId="77777777" w:rsidR="000F5A5E" w:rsidRPr="00957D94" w:rsidRDefault="000F5A5E" w:rsidP="000F5A5E">
      <w:pPr>
        <w:pStyle w:val="EndnoteText"/>
      </w:pPr>
      <w:r>
        <w:rPr>
          <w:rStyle w:val="EndnoteReference"/>
        </w:rPr>
        <w:endnoteRef/>
      </w:r>
      <w:r>
        <w:t xml:space="preserve"> </w:t>
      </w:r>
      <w:proofErr w:type="spellStart"/>
      <w:r w:rsidRPr="00BF54A6">
        <w:rPr>
          <w:i/>
        </w:rPr>
        <w:t>Ellerbee</w:t>
      </w:r>
      <w:proofErr w:type="spellEnd"/>
      <w:r w:rsidRPr="00BF54A6">
        <w:rPr>
          <w:i/>
        </w:rPr>
        <w:t xml:space="preserve"> v. State</w:t>
      </w:r>
      <w:r>
        <w:t xml:space="preserve">, 215 Ga. App. 312, 315-318 (1994), overruled on other grounds </w:t>
      </w:r>
      <w:r>
        <w:rPr>
          <w:i/>
        </w:rPr>
        <w:t>Felix v. State</w:t>
      </w:r>
      <w:r>
        <w:t>, 271 Ga. 534 (1999).</w:t>
      </w:r>
    </w:p>
  </w:endnote>
  <w:endnote w:id="38">
    <w:p w14:paraId="42972353" w14:textId="77777777" w:rsidR="000F5A5E" w:rsidRDefault="000F5A5E" w:rsidP="000F5A5E">
      <w:pPr>
        <w:pStyle w:val="EndnoteText"/>
      </w:pPr>
      <w:r>
        <w:rPr>
          <w:rStyle w:val="EndnoteReference"/>
        </w:rPr>
        <w:endnoteRef/>
      </w:r>
      <w:r>
        <w:t xml:space="preserve"> If all preemptory challenges used to strike a particular race, a prima facie case has likely been made. </w:t>
      </w:r>
      <w:r w:rsidRPr="00233D0E">
        <w:rPr>
          <w:i/>
        </w:rPr>
        <w:t>Rose v. State</w:t>
      </w:r>
      <w:r>
        <w:t xml:space="preserve">, 287 Ga. 238, 240 (2010); </w:t>
      </w:r>
      <w:r w:rsidRPr="00233D0E">
        <w:rPr>
          <w:i/>
        </w:rPr>
        <w:t>Tillman v. State</w:t>
      </w:r>
      <w:r>
        <w:t>, 240 Ga. App. 78-79 (1999).</w:t>
      </w:r>
    </w:p>
  </w:endnote>
  <w:endnote w:id="39">
    <w:p w14:paraId="3B32EC76" w14:textId="77777777" w:rsidR="000F5A5E" w:rsidRPr="00393282" w:rsidRDefault="000F5A5E" w:rsidP="000F5A5E">
      <w:pPr>
        <w:pStyle w:val="EndnoteText"/>
      </w:pPr>
      <w:r>
        <w:rPr>
          <w:rStyle w:val="EndnoteReference"/>
        </w:rPr>
        <w:endnoteRef/>
      </w:r>
      <w:r>
        <w:t xml:space="preserve"> </w:t>
      </w:r>
      <w:r>
        <w:rPr>
          <w:i/>
        </w:rPr>
        <w:t>Edwards v. State</w:t>
      </w:r>
      <w:r>
        <w:t>, 301 Ga. 822, 824-825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325F" w14:textId="77777777" w:rsidR="00203CFD" w:rsidRDefault="00203CFD" w:rsidP="00203CFD">
    <w:pPr>
      <w:pStyle w:val="Footer"/>
      <w:rPr>
        <w:b w:val="0"/>
        <w:szCs w:val="20"/>
      </w:rPr>
    </w:pPr>
  </w:p>
  <w:p w14:paraId="7D8D3B41" w14:textId="77777777" w:rsidR="00203CFD" w:rsidRDefault="00203CFD" w:rsidP="00203CFD">
    <w:pPr>
      <w:pStyle w:val="Footer"/>
      <w:rPr>
        <w:szCs w:val="20"/>
      </w:rPr>
    </w:pPr>
  </w:p>
  <w:p w14:paraId="2E27172A" w14:textId="042C8371" w:rsidR="00203CFD" w:rsidRDefault="004E21DF" w:rsidP="00203CFD">
    <w:pPr>
      <w:pStyle w:val="Footer"/>
      <w:rPr>
        <w:szCs w:val="20"/>
      </w:rPr>
    </w:pPr>
    <w:r w:rsidRPr="004E21DF">
      <w:rPr>
        <w:i/>
        <w:iCs/>
        <w:szCs w:val="20"/>
      </w:rPr>
      <w:t>BATSON</w:t>
    </w:r>
    <w:r w:rsidR="0022219C">
      <w:rPr>
        <w:szCs w:val="20"/>
      </w:rPr>
      <w:t xml:space="preserve"> MOTIONS</w:t>
    </w:r>
  </w:p>
  <w:p w14:paraId="2CB06520" w14:textId="0AA56EFE" w:rsidR="00203CFD" w:rsidRDefault="00203CFD" w:rsidP="00203CFD">
    <w:pPr>
      <w:pStyle w:val="Footer"/>
      <w:rPr>
        <w:b w:val="0"/>
        <w:szCs w:val="20"/>
      </w:rPr>
    </w:pPr>
    <w:r>
      <w:rPr>
        <w:szCs w:val="20"/>
      </w:rPr>
      <w:t xml:space="preserve">LAST UPDATED </w:t>
    </w:r>
    <w:r w:rsidR="0022219C">
      <w:rPr>
        <w:szCs w:val="20"/>
      </w:rPr>
      <w:t>11</w:t>
    </w:r>
    <w:r>
      <w:rPr>
        <w:szCs w:val="20"/>
      </w:rPr>
      <w:t>/</w:t>
    </w:r>
    <w:r w:rsidR="0022219C">
      <w:rPr>
        <w:szCs w:val="20"/>
      </w:rPr>
      <w:t>3</w:t>
    </w:r>
    <w:r>
      <w:rPr>
        <w:szCs w:val="20"/>
      </w:rPr>
      <w:t>/2019</w:t>
    </w:r>
  </w:p>
  <w:p w14:paraId="06243F51" w14:textId="77777777" w:rsidR="00203CFD" w:rsidRDefault="00203CFD" w:rsidP="00203CFD">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Pr>
        <w:noProof/>
        <w:szCs w:val="20"/>
      </w:rPr>
      <w:t>1</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Pr>
        <w:noProof/>
        <w:szCs w:val="20"/>
      </w:rPr>
      <w:t>1</w:t>
    </w:r>
    <w:r>
      <w:rPr>
        <w:b w:val="0"/>
        <w:szCs w:val="20"/>
      </w:rPr>
      <w:fldChar w:fldCharType="end"/>
    </w:r>
  </w:p>
  <w:p w14:paraId="379DACDD" w14:textId="77777777" w:rsidR="00203CFD" w:rsidRDefault="00203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DF1A" w14:textId="77777777" w:rsidR="0099232C" w:rsidRDefault="0099232C" w:rsidP="003F5555">
      <w:pPr>
        <w:spacing w:after="0" w:line="240" w:lineRule="auto"/>
      </w:pPr>
      <w:r>
        <w:separator/>
      </w:r>
    </w:p>
  </w:footnote>
  <w:footnote w:type="continuationSeparator" w:id="0">
    <w:p w14:paraId="64953B5C" w14:textId="77777777" w:rsidR="0099232C" w:rsidRDefault="0099232C" w:rsidP="003F5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7F3A3228"/>
    <w:lvl w:ilvl="0" w:tplc="FFC60594">
      <w:start w:val="1"/>
      <w:numFmt w:val="decimal"/>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F4A9F"/>
    <w:multiLevelType w:val="multilevel"/>
    <w:tmpl w:val="008C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F958AC"/>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4" w15:restartNumberingAfterBreak="0">
    <w:nsid w:val="061F7D34"/>
    <w:multiLevelType w:val="hybridMultilevel"/>
    <w:tmpl w:val="1312F42E"/>
    <w:lvl w:ilvl="0" w:tplc="A6C2F3B6">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3545F3"/>
    <w:multiLevelType w:val="hybridMultilevel"/>
    <w:tmpl w:val="9832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7" w15:restartNumberingAfterBreak="0">
    <w:nsid w:val="0A3B32B0"/>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8" w15:restartNumberingAfterBreak="0">
    <w:nsid w:val="0F473C60"/>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9" w15:restartNumberingAfterBreak="0">
    <w:nsid w:val="17DE58C5"/>
    <w:multiLevelType w:val="hybridMultilevel"/>
    <w:tmpl w:val="AC6C20AA"/>
    <w:lvl w:ilvl="0" w:tplc="652CAC5E">
      <w:start w:val="1"/>
      <w:numFmt w:val="upperLetter"/>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4D2CE9"/>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1"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12" w15:restartNumberingAfterBreak="0">
    <w:nsid w:val="2D2B78C4"/>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3" w15:restartNumberingAfterBreak="0">
    <w:nsid w:val="2DC64CB8"/>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4"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5" w15:restartNumberingAfterBreak="0">
    <w:nsid w:val="51613706"/>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6" w15:restartNumberingAfterBreak="0">
    <w:nsid w:val="66CE46D4"/>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7" w15:restartNumberingAfterBreak="0">
    <w:nsid w:val="783966D3"/>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num w:numId="1">
    <w:abstractNumId w:val="0"/>
  </w:num>
  <w:num w:numId="2">
    <w:abstractNumId w:val="1"/>
  </w:num>
  <w:num w:numId="3">
    <w:abstractNumId w:val="6"/>
  </w:num>
  <w:num w:numId="4">
    <w:abstractNumId w:val="11"/>
  </w:num>
  <w:num w:numId="5">
    <w:abstractNumId w:val="14"/>
  </w:num>
  <w:num w:numId="6">
    <w:abstractNumId w:val="14"/>
  </w:num>
  <w:num w:numId="7">
    <w:abstractNumId w:val="14"/>
  </w:num>
  <w:num w:numId="8">
    <w:abstractNumId w:val="14"/>
  </w:num>
  <w:num w:numId="9">
    <w:abstractNumId w:val="0"/>
  </w:num>
  <w:num w:numId="10">
    <w:abstractNumId w:val="1"/>
  </w:num>
  <w:num w:numId="11">
    <w:abstractNumId w:val="6"/>
  </w:num>
  <w:num w:numId="12">
    <w:abstractNumId w:val="11"/>
  </w:num>
  <w:num w:numId="13">
    <w:abstractNumId w:val="14"/>
  </w:num>
  <w:num w:numId="14">
    <w:abstractNumId w:val="14"/>
  </w:num>
  <w:num w:numId="15">
    <w:abstractNumId w:val="2"/>
  </w:num>
  <w:num w:numId="16">
    <w:abstractNumId w:val="1"/>
  </w:num>
  <w:num w:numId="17">
    <w:abstractNumId w:val="3"/>
  </w:num>
  <w:num w:numId="18">
    <w:abstractNumId w:val="16"/>
  </w:num>
  <w:num w:numId="19">
    <w:abstractNumId w:val="9"/>
  </w:num>
  <w:num w:numId="20">
    <w:abstractNumId w:val="5"/>
  </w:num>
  <w:num w:numId="21">
    <w:abstractNumId w:val="8"/>
  </w:num>
  <w:num w:numId="22">
    <w:abstractNumId w:val="10"/>
  </w:num>
  <w:num w:numId="23">
    <w:abstractNumId w:val="12"/>
  </w:num>
  <w:num w:numId="24">
    <w:abstractNumId w:val="7"/>
  </w:num>
  <w:num w:numId="25">
    <w:abstractNumId w:val="17"/>
  </w:num>
  <w:num w:numId="26">
    <w:abstractNumId w:val="4"/>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DB"/>
    <w:rsid w:val="000575DA"/>
    <w:rsid w:val="00063AE2"/>
    <w:rsid w:val="00071DE2"/>
    <w:rsid w:val="000B0C5F"/>
    <w:rsid w:val="000C0D1C"/>
    <w:rsid w:val="000E2C46"/>
    <w:rsid w:val="000E652D"/>
    <w:rsid w:val="000F5A5E"/>
    <w:rsid w:val="0010548B"/>
    <w:rsid w:val="0011188D"/>
    <w:rsid w:val="001303FD"/>
    <w:rsid w:val="0016714D"/>
    <w:rsid w:val="00170AA7"/>
    <w:rsid w:val="00181784"/>
    <w:rsid w:val="001C5AA3"/>
    <w:rsid w:val="001E1101"/>
    <w:rsid w:val="001E7313"/>
    <w:rsid w:val="00203CFD"/>
    <w:rsid w:val="0022219C"/>
    <w:rsid w:val="00232E23"/>
    <w:rsid w:val="002404C3"/>
    <w:rsid w:val="002412BC"/>
    <w:rsid w:val="00291035"/>
    <w:rsid w:val="002A5305"/>
    <w:rsid w:val="002C4C10"/>
    <w:rsid w:val="002F1B05"/>
    <w:rsid w:val="002F4E60"/>
    <w:rsid w:val="0030148F"/>
    <w:rsid w:val="0032105C"/>
    <w:rsid w:val="003211F6"/>
    <w:rsid w:val="003373EA"/>
    <w:rsid w:val="00340990"/>
    <w:rsid w:val="003456BF"/>
    <w:rsid w:val="003606D7"/>
    <w:rsid w:val="00364317"/>
    <w:rsid w:val="003752CC"/>
    <w:rsid w:val="00393700"/>
    <w:rsid w:val="003A3EC0"/>
    <w:rsid w:val="003B2BA6"/>
    <w:rsid w:val="003D3AE7"/>
    <w:rsid w:val="003E72BC"/>
    <w:rsid w:val="003E7630"/>
    <w:rsid w:val="003F37B2"/>
    <w:rsid w:val="003F5555"/>
    <w:rsid w:val="0043222B"/>
    <w:rsid w:val="00450398"/>
    <w:rsid w:val="004767DB"/>
    <w:rsid w:val="00483C7D"/>
    <w:rsid w:val="00494289"/>
    <w:rsid w:val="004A4583"/>
    <w:rsid w:val="004D0540"/>
    <w:rsid w:val="004E0C05"/>
    <w:rsid w:val="004E21DF"/>
    <w:rsid w:val="0050464D"/>
    <w:rsid w:val="00521F3D"/>
    <w:rsid w:val="005315B6"/>
    <w:rsid w:val="00541718"/>
    <w:rsid w:val="005637AD"/>
    <w:rsid w:val="005B296F"/>
    <w:rsid w:val="005B5FC0"/>
    <w:rsid w:val="005D2A5D"/>
    <w:rsid w:val="005E32E3"/>
    <w:rsid w:val="005F0C81"/>
    <w:rsid w:val="00605BF2"/>
    <w:rsid w:val="00614438"/>
    <w:rsid w:val="006212E5"/>
    <w:rsid w:val="00623FFD"/>
    <w:rsid w:val="006439E8"/>
    <w:rsid w:val="00646E48"/>
    <w:rsid w:val="00671120"/>
    <w:rsid w:val="006A5A65"/>
    <w:rsid w:val="006B5F86"/>
    <w:rsid w:val="006C0A90"/>
    <w:rsid w:val="006D4228"/>
    <w:rsid w:val="006E2A61"/>
    <w:rsid w:val="00700FA3"/>
    <w:rsid w:val="00717C45"/>
    <w:rsid w:val="00722AC5"/>
    <w:rsid w:val="007240A1"/>
    <w:rsid w:val="00727C65"/>
    <w:rsid w:val="00792E92"/>
    <w:rsid w:val="007D65F3"/>
    <w:rsid w:val="007E6BA7"/>
    <w:rsid w:val="007F4B46"/>
    <w:rsid w:val="00815974"/>
    <w:rsid w:val="00825A17"/>
    <w:rsid w:val="00835A7C"/>
    <w:rsid w:val="00842066"/>
    <w:rsid w:val="008620AE"/>
    <w:rsid w:val="00872C28"/>
    <w:rsid w:val="00876F93"/>
    <w:rsid w:val="008C4D89"/>
    <w:rsid w:val="008D3529"/>
    <w:rsid w:val="008F5115"/>
    <w:rsid w:val="0099232C"/>
    <w:rsid w:val="00993028"/>
    <w:rsid w:val="009B1612"/>
    <w:rsid w:val="009D3F98"/>
    <w:rsid w:val="009D4EA0"/>
    <w:rsid w:val="009E2F68"/>
    <w:rsid w:val="009E51C4"/>
    <w:rsid w:val="00A02BEE"/>
    <w:rsid w:val="00A22C32"/>
    <w:rsid w:val="00A23621"/>
    <w:rsid w:val="00A276B0"/>
    <w:rsid w:val="00A27FA5"/>
    <w:rsid w:val="00AC0D29"/>
    <w:rsid w:val="00AD1617"/>
    <w:rsid w:val="00AF5581"/>
    <w:rsid w:val="00B24394"/>
    <w:rsid w:val="00B478D3"/>
    <w:rsid w:val="00B52335"/>
    <w:rsid w:val="00B61BBA"/>
    <w:rsid w:val="00B74F71"/>
    <w:rsid w:val="00BD054B"/>
    <w:rsid w:val="00BF07BD"/>
    <w:rsid w:val="00BF084A"/>
    <w:rsid w:val="00BF3E73"/>
    <w:rsid w:val="00BF5F42"/>
    <w:rsid w:val="00C85573"/>
    <w:rsid w:val="00C86BF3"/>
    <w:rsid w:val="00CD3C7A"/>
    <w:rsid w:val="00CE25A1"/>
    <w:rsid w:val="00D51F31"/>
    <w:rsid w:val="00D668C8"/>
    <w:rsid w:val="00D9098B"/>
    <w:rsid w:val="00DD0EE4"/>
    <w:rsid w:val="00DF5621"/>
    <w:rsid w:val="00E02422"/>
    <w:rsid w:val="00E11E04"/>
    <w:rsid w:val="00E21780"/>
    <w:rsid w:val="00E30C53"/>
    <w:rsid w:val="00E434A5"/>
    <w:rsid w:val="00E501B8"/>
    <w:rsid w:val="00E52295"/>
    <w:rsid w:val="00E53940"/>
    <w:rsid w:val="00E64C26"/>
    <w:rsid w:val="00E73224"/>
    <w:rsid w:val="00E80578"/>
    <w:rsid w:val="00E806A7"/>
    <w:rsid w:val="00EC1DCA"/>
    <w:rsid w:val="00EC325A"/>
    <w:rsid w:val="00ED2933"/>
    <w:rsid w:val="00ED3C2F"/>
    <w:rsid w:val="00EE1495"/>
    <w:rsid w:val="00EF5934"/>
    <w:rsid w:val="00F06B77"/>
    <w:rsid w:val="00F46FBF"/>
    <w:rsid w:val="00F61446"/>
    <w:rsid w:val="00F70E70"/>
    <w:rsid w:val="00F74103"/>
    <w:rsid w:val="00F815E6"/>
    <w:rsid w:val="00F839C4"/>
    <w:rsid w:val="00F96953"/>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DC36"/>
  <w15:chartTrackingRefBased/>
  <w15:docId w15:val="{F4B31104-4EAE-45D0-B08A-6FE208EB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7">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D3529"/>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qFormat/>
    <w:rsid w:val="00CE25A1"/>
    <w:pPr>
      <w:keepLines/>
      <w:spacing w:after="120" w:line="360" w:lineRule="auto"/>
      <w:ind w:left="360" w:hanging="360"/>
    </w:pPr>
  </w:style>
  <w:style w:type="character" w:customStyle="1" w:styleId="EndnoteTextChar">
    <w:name w:val="Endnote Text Char"/>
    <w:basedOn w:val="DefaultParagraphFont"/>
    <w:link w:val="EndnoteText"/>
    <w:uiPriority w:val="99"/>
    <w:rsid w:val="00CE25A1"/>
  </w:style>
  <w:style w:type="character" w:styleId="EndnoteReference">
    <w:name w:val="endnote reference"/>
    <w:basedOn w:val="DefaultParagraphFont"/>
    <w:uiPriority w:val="99"/>
    <w:qFormat/>
    <w:rsid w:val="008D3529"/>
    <w:rPr>
      <w:rFonts w:ascii="Times New Roman" w:hAnsi="Times New Roman"/>
      <w:b/>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qFormat/>
    <w:rsid w:val="008D3529"/>
    <w:pPr>
      <w:autoSpaceDE w:val="0"/>
      <w:autoSpaceDN w:val="0"/>
      <w:adjustRightInd w:val="0"/>
      <w:spacing w:after="0"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rsid w:val="008D3529"/>
  </w:style>
  <w:style w:type="character" w:customStyle="1" w:styleId="costarpage">
    <w:name w:val="co_starpage"/>
    <w:basedOn w:val="DefaultParagraphFont"/>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4767DB"/>
    <w:pPr>
      <w:tabs>
        <w:tab w:val="left" w:pos="43"/>
        <w:tab w:val="left" w:pos="432"/>
      </w:tabs>
      <w:spacing w:line="480" w:lineRule="auto"/>
      <w:ind w:left="0" w:firstLine="0"/>
    </w:pPr>
  </w:style>
  <w:style w:type="character" w:customStyle="1" w:styleId="ListParaNoIndentChar">
    <w:name w:val="List Para No Indent Char"/>
    <w:basedOn w:val="ListParagraphChar"/>
    <w:link w:val="ListParaNoIndent"/>
    <w:uiPriority w:val="2"/>
    <w:rsid w:val="004767DB"/>
    <w:rPr>
      <w:sz w:val="28"/>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unhideWhenUsed/>
    <w:rsid w:val="00450398"/>
    <w:pPr>
      <w:framePr w:wrap="notBeside" w:hAnchor="text"/>
      <w:spacing w:after="0"/>
    </w:pPr>
    <w:rPr>
      <w:sz w:val="24"/>
      <w:szCs w:val="20"/>
    </w:rPr>
  </w:style>
  <w:style w:type="character" w:customStyle="1" w:styleId="FootnoteTextChar">
    <w:name w:val="Footnote Text Char"/>
    <w:basedOn w:val="DefaultParagraphFont"/>
    <w:link w:val="FootnoteText"/>
    <w:uiPriority w:val="99"/>
    <w:rsid w:val="00450398"/>
    <w:rPr>
      <w:sz w:val="24"/>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08148">
      <w:bodyDiv w:val="1"/>
      <w:marLeft w:val="0"/>
      <w:marRight w:val="0"/>
      <w:marTop w:val="0"/>
      <w:marBottom w:val="0"/>
      <w:divBdr>
        <w:top w:val="none" w:sz="0" w:space="0" w:color="auto"/>
        <w:left w:val="none" w:sz="0" w:space="0" w:color="auto"/>
        <w:bottom w:val="none" w:sz="0" w:space="0" w:color="auto"/>
        <w:right w:val="none" w:sz="0" w:space="0" w:color="auto"/>
      </w:divBdr>
      <w:divsChild>
        <w:div w:id="1512450219">
          <w:marLeft w:val="0"/>
          <w:marRight w:val="0"/>
          <w:marTop w:val="0"/>
          <w:marBottom w:val="0"/>
          <w:divBdr>
            <w:top w:val="none" w:sz="0" w:space="0" w:color="auto"/>
            <w:left w:val="none" w:sz="0" w:space="0" w:color="auto"/>
            <w:bottom w:val="none" w:sz="0" w:space="0" w:color="auto"/>
            <w:right w:val="none" w:sz="0" w:space="0" w:color="auto"/>
          </w:divBdr>
          <w:divsChild>
            <w:div w:id="1551068734">
              <w:marLeft w:val="0"/>
              <w:marRight w:val="0"/>
              <w:marTop w:val="0"/>
              <w:marBottom w:val="0"/>
              <w:divBdr>
                <w:top w:val="none" w:sz="0" w:space="0" w:color="auto"/>
                <w:left w:val="none" w:sz="0" w:space="0" w:color="auto"/>
                <w:bottom w:val="none" w:sz="0" w:space="0" w:color="auto"/>
                <w:right w:val="none" w:sz="0" w:space="0" w:color="auto"/>
              </w:divBdr>
            </w:div>
          </w:divsChild>
        </w:div>
        <w:div w:id="628363427">
          <w:marLeft w:val="0"/>
          <w:marRight w:val="0"/>
          <w:marTop w:val="0"/>
          <w:marBottom w:val="0"/>
          <w:divBdr>
            <w:top w:val="none" w:sz="0" w:space="0" w:color="auto"/>
            <w:left w:val="none" w:sz="0" w:space="0" w:color="auto"/>
            <w:bottom w:val="none" w:sz="0" w:space="0" w:color="auto"/>
            <w:right w:val="none" w:sz="0" w:space="0" w:color="auto"/>
          </w:divBdr>
          <w:divsChild>
            <w:div w:id="1543901376">
              <w:marLeft w:val="0"/>
              <w:marRight w:val="0"/>
              <w:marTop w:val="0"/>
              <w:marBottom w:val="0"/>
              <w:divBdr>
                <w:top w:val="none" w:sz="0" w:space="0" w:color="auto"/>
                <w:left w:val="none" w:sz="0" w:space="0" w:color="auto"/>
                <w:bottom w:val="none" w:sz="0" w:space="0" w:color="auto"/>
                <w:right w:val="none" w:sz="0" w:space="0" w:color="auto"/>
              </w:divBdr>
              <w:divsChild>
                <w:div w:id="11077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8798">
          <w:marLeft w:val="0"/>
          <w:marRight w:val="0"/>
          <w:marTop w:val="0"/>
          <w:marBottom w:val="0"/>
          <w:divBdr>
            <w:top w:val="none" w:sz="0" w:space="0" w:color="auto"/>
            <w:left w:val="none" w:sz="0" w:space="0" w:color="auto"/>
            <w:bottom w:val="none" w:sz="0" w:space="0" w:color="auto"/>
            <w:right w:val="none" w:sz="0" w:space="0" w:color="auto"/>
          </w:divBdr>
          <w:divsChild>
            <w:div w:id="1962955972">
              <w:marLeft w:val="0"/>
              <w:marRight w:val="0"/>
              <w:marTop w:val="0"/>
              <w:marBottom w:val="0"/>
              <w:divBdr>
                <w:top w:val="none" w:sz="0" w:space="0" w:color="auto"/>
                <w:left w:val="none" w:sz="0" w:space="0" w:color="auto"/>
                <w:bottom w:val="none" w:sz="0" w:space="0" w:color="auto"/>
                <w:right w:val="none" w:sz="0" w:space="0" w:color="auto"/>
              </w:divBdr>
              <w:divsChild>
                <w:div w:id="14515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1170">
          <w:marLeft w:val="0"/>
          <w:marRight w:val="0"/>
          <w:marTop w:val="0"/>
          <w:marBottom w:val="0"/>
          <w:divBdr>
            <w:top w:val="none" w:sz="0" w:space="0" w:color="auto"/>
            <w:left w:val="none" w:sz="0" w:space="0" w:color="auto"/>
            <w:bottom w:val="none" w:sz="0" w:space="0" w:color="auto"/>
            <w:right w:val="none" w:sz="0" w:space="0" w:color="auto"/>
          </w:divBdr>
          <w:divsChild>
            <w:div w:id="1422022090">
              <w:marLeft w:val="0"/>
              <w:marRight w:val="0"/>
              <w:marTop w:val="0"/>
              <w:marBottom w:val="0"/>
              <w:divBdr>
                <w:top w:val="none" w:sz="0" w:space="0" w:color="auto"/>
                <w:left w:val="none" w:sz="0" w:space="0" w:color="auto"/>
                <w:bottom w:val="none" w:sz="0" w:space="0" w:color="auto"/>
                <w:right w:val="none" w:sz="0" w:space="0" w:color="auto"/>
              </w:divBdr>
              <w:divsChild>
                <w:div w:id="11438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1648">
          <w:marLeft w:val="0"/>
          <w:marRight w:val="0"/>
          <w:marTop w:val="0"/>
          <w:marBottom w:val="0"/>
          <w:divBdr>
            <w:top w:val="none" w:sz="0" w:space="0" w:color="auto"/>
            <w:left w:val="none" w:sz="0" w:space="0" w:color="auto"/>
            <w:bottom w:val="none" w:sz="0" w:space="0" w:color="auto"/>
            <w:right w:val="none" w:sz="0" w:space="0" w:color="auto"/>
          </w:divBdr>
          <w:divsChild>
            <w:div w:id="825173952">
              <w:marLeft w:val="0"/>
              <w:marRight w:val="0"/>
              <w:marTop w:val="0"/>
              <w:marBottom w:val="0"/>
              <w:divBdr>
                <w:top w:val="none" w:sz="0" w:space="0" w:color="auto"/>
                <w:left w:val="none" w:sz="0" w:space="0" w:color="auto"/>
                <w:bottom w:val="none" w:sz="0" w:space="0" w:color="auto"/>
                <w:right w:val="none" w:sz="0" w:space="0" w:color="auto"/>
              </w:divBdr>
              <w:divsChild>
                <w:div w:id="1714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1219">
      <w:bodyDiv w:val="1"/>
      <w:marLeft w:val="0"/>
      <w:marRight w:val="0"/>
      <w:marTop w:val="0"/>
      <w:marBottom w:val="0"/>
      <w:divBdr>
        <w:top w:val="none" w:sz="0" w:space="0" w:color="auto"/>
        <w:left w:val="none" w:sz="0" w:space="0" w:color="auto"/>
        <w:bottom w:val="none" w:sz="0" w:space="0" w:color="auto"/>
        <w:right w:val="none" w:sz="0" w:space="0" w:color="auto"/>
      </w:divBdr>
      <w:divsChild>
        <w:div w:id="1756248057">
          <w:marLeft w:val="0"/>
          <w:marRight w:val="0"/>
          <w:marTop w:val="0"/>
          <w:marBottom w:val="0"/>
          <w:divBdr>
            <w:top w:val="none" w:sz="0" w:space="0" w:color="auto"/>
            <w:left w:val="none" w:sz="0" w:space="0" w:color="auto"/>
            <w:bottom w:val="none" w:sz="0" w:space="0" w:color="auto"/>
            <w:right w:val="none" w:sz="0" w:space="0" w:color="auto"/>
          </w:divBdr>
        </w:div>
        <w:div w:id="838736413">
          <w:marLeft w:val="0"/>
          <w:marRight w:val="0"/>
          <w:marTop w:val="240"/>
          <w:marBottom w:val="0"/>
          <w:divBdr>
            <w:top w:val="none" w:sz="0" w:space="0" w:color="auto"/>
            <w:left w:val="none" w:sz="0" w:space="0" w:color="auto"/>
            <w:bottom w:val="none" w:sz="0" w:space="0" w:color="auto"/>
            <w:right w:val="none" w:sz="0" w:space="0" w:color="auto"/>
          </w:divBdr>
          <w:divsChild>
            <w:div w:id="1947542468">
              <w:marLeft w:val="0"/>
              <w:marRight w:val="0"/>
              <w:marTop w:val="0"/>
              <w:marBottom w:val="0"/>
              <w:divBdr>
                <w:top w:val="none" w:sz="0" w:space="0" w:color="auto"/>
                <w:left w:val="none" w:sz="0" w:space="0" w:color="auto"/>
                <w:bottom w:val="none" w:sz="0" w:space="0" w:color="auto"/>
                <w:right w:val="none" w:sz="0" w:space="0" w:color="auto"/>
              </w:divBdr>
              <w:divsChild>
                <w:div w:id="19067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1171">
          <w:marLeft w:val="0"/>
          <w:marRight w:val="0"/>
          <w:marTop w:val="240"/>
          <w:marBottom w:val="0"/>
          <w:divBdr>
            <w:top w:val="none" w:sz="0" w:space="0" w:color="auto"/>
            <w:left w:val="none" w:sz="0" w:space="0" w:color="auto"/>
            <w:bottom w:val="none" w:sz="0" w:space="0" w:color="auto"/>
            <w:right w:val="none" w:sz="0" w:space="0" w:color="auto"/>
          </w:divBdr>
          <w:divsChild>
            <w:div w:id="451679303">
              <w:marLeft w:val="0"/>
              <w:marRight w:val="0"/>
              <w:marTop w:val="0"/>
              <w:marBottom w:val="0"/>
              <w:divBdr>
                <w:top w:val="none" w:sz="0" w:space="0" w:color="auto"/>
                <w:left w:val="none" w:sz="0" w:space="0" w:color="auto"/>
                <w:bottom w:val="none" w:sz="0" w:space="0" w:color="auto"/>
                <w:right w:val="none" w:sz="0" w:space="0" w:color="auto"/>
              </w:divBdr>
              <w:divsChild>
                <w:div w:id="1626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79421">
          <w:marLeft w:val="0"/>
          <w:marRight w:val="0"/>
          <w:marTop w:val="240"/>
          <w:marBottom w:val="0"/>
          <w:divBdr>
            <w:top w:val="none" w:sz="0" w:space="0" w:color="auto"/>
            <w:left w:val="none" w:sz="0" w:space="0" w:color="auto"/>
            <w:bottom w:val="none" w:sz="0" w:space="0" w:color="auto"/>
            <w:right w:val="none" w:sz="0" w:space="0" w:color="auto"/>
          </w:divBdr>
          <w:divsChild>
            <w:div w:id="1902668823">
              <w:marLeft w:val="0"/>
              <w:marRight w:val="0"/>
              <w:marTop w:val="0"/>
              <w:marBottom w:val="0"/>
              <w:divBdr>
                <w:top w:val="none" w:sz="0" w:space="0" w:color="auto"/>
                <w:left w:val="none" w:sz="0" w:space="0" w:color="auto"/>
                <w:bottom w:val="none" w:sz="0" w:space="0" w:color="auto"/>
                <w:right w:val="none" w:sz="0" w:space="0" w:color="auto"/>
              </w:divBdr>
              <w:divsChild>
                <w:div w:id="2001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80192">
          <w:marLeft w:val="0"/>
          <w:marRight w:val="0"/>
          <w:marTop w:val="240"/>
          <w:marBottom w:val="0"/>
          <w:divBdr>
            <w:top w:val="none" w:sz="0" w:space="0" w:color="auto"/>
            <w:left w:val="none" w:sz="0" w:space="0" w:color="auto"/>
            <w:bottom w:val="none" w:sz="0" w:space="0" w:color="auto"/>
            <w:right w:val="none" w:sz="0" w:space="0" w:color="auto"/>
          </w:divBdr>
          <w:divsChild>
            <w:div w:id="790246763">
              <w:marLeft w:val="0"/>
              <w:marRight w:val="0"/>
              <w:marTop w:val="0"/>
              <w:marBottom w:val="0"/>
              <w:divBdr>
                <w:top w:val="none" w:sz="0" w:space="0" w:color="auto"/>
                <w:left w:val="none" w:sz="0" w:space="0" w:color="auto"/>
                <w:bottom w:val="none" w:sz="0" w:space="0" w:color="auto"/>
                <w:right w:val="none" w:sz="0" w:space="0" w:color="auto"/>
              </w:divBdr>
              <w:divsChild>
                <w:div w:id="9214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522">
          <w:marLeft w:val="0"/>
          <w:marRight w:val="0"/>
          <w:marTop w:val="240"/>
          <w:marBottom w:val="0"/>
          <w:divBdr>
            <w:top w:val="none" w:sz="0" w:space="0" w:color="auto"/>
            <w:left w:val="none" w:sz="0" w:space="0" w:color="auto"/>
            <w:bottom w:val="none" w:sz="0" w:space="0" w:color="auto"/>
            <w:right w:val="none" w:sz="0" w:space="0" w:color="auto"/>
          </w:divBdr>
          <w:divsChild>
            <w:div w:id="198053275">
              <w:marLeft w:val="0"/>
              <w:marRight w:val="0"/>
              <w:marTop w:val="0"/>
              <w:marBottom w:val="0"/>
              <w:divBdr>
                <w:top w:val="none" w:sz="0" w:space="0" w:color="auto"/>
                <w:left w:val="none" w:sz="0" w:space="0" w:color="auto"/>
                <w:bottom w:val="none" w:sz="0" w:space="0" w:color="auto"/>
                <w:right w:val="none" w:sz="0" w:space="0" w:color="auto"/>
              </w:divBdr>
              <w:divsChild>
                <w:div w:id="9228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4658">
          <w:marLeft w:val="0"/>
          <w:marRight w:val="0"/>
          <w:marTop w:val="240"/>
          <w:marBottom w:val="0"/>
          <w:divBdr>
            <w:top w:val="none" w:sz="0" w:space="0" w:color="auto"/>
            <w:left w:val="none" w:sz="0" w:space="0" w:color="auto"/>
            <w:bottom w:val="none" w:sz="0" w:space="0" w:color="auto"/>
            <w:right w:val="none" w:sz="0" w:space="0" w:color="auto"/>
          </w:divBdr>
          <w:divsChild>
            <w:div w:id="1175026324">
              <w:marLeft w:val="0"/>
              <w:marRight w:val="0"/>
              <w:marTop w:val="0"/>
              <w:marBottom w:val="0"/>
              <w:divBdr>
                <w:top w:val="none" w:sz="0" w:space="0" w:color="auto"/>
                <w:left w:val="none" w:sz="0" w:space="0" w:color="auto"/>
                <w:bottom w:val="none" w:sz="0" w:space="0" w:color="auto"/>
                <w:right w:val="none" w:sz="0" w:space="0" w:color="auto"/>
              </w:divBdr>
              <w:divsChild>
                <w:div w:id="2040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283">
          <w:marLeft w:val="0"/>
          <w:marRight w:val="0"/>
          <w:marTop w:val="240"/>
          <w:marBottom w:val="0"/>
          <w:divBdr>
            <w:top w:val="none" w:sz="0" w:space="0" w:color="auto"/>
            <w:left w:val="none" w:sz="0" w:space="0" w:color="auto"/>
            <w:bottom w:val="none" w:sz="0" w:space="0" w:color="auto"/>
            <w:right w:val="none" w:sz="0" w:space="0" w:color="auto"/>
          </w:divBdr>
          <w:divsChild>
            <w:div w:id="85465045">
              <w:marLeft w:val="0"/>
              <w:marRight w:val="0"/>
              <w:marTop w:val="0"/>
              <w:marBottom w:val="0"/>
              <w:divBdr>
                <w:top w:val="none" w:sz="0" w:space="0" w:color="auto"/>
                <w:left w:val="none" w:sz="0" w:space="0" w:color="auto"/>
                <w:bottom w:val="none" w:sz="0" w:space="0" w:color="auto"/>
                <w:right w:val="none" w:sz="0" w:space="0" w:color="auto"/>
              </w:divBdr>
              <w:divsChild>
                <w:div w:id="888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7622">
          <w:marLeft w:val="0"/>
          <w:marRight w:val="0"/>
          <w:marTop w:val="240"/>
          <w:marBottom w:val="0"/>
          <w:divBdr>
            <w:top w:val="none" w:sz="0" w:space="0" w:color="auto"/>
            <w:left w:val="none" w:sz="0" w:space="0" w:color="auto"/>
            <w:bottom w:val="none" w:sz="0" w:space="0" w:color="auto"/>
            <w:right w:val="none" w:sz="0" w:space="0" w:color="auto"/>
          </w:divBdr>
          <w:divsChild>
            <w:div w:id="1403214047">
              <w:marLeft w:val="0"/>
              <w:marRight w:val="0"/>
              <w:marTop w:val="0"/>
              <w:marBottom w:val="0"/>
              <w:divBdr>
                <w:top w:val="none" w:sz="0" w:space="0" w:color="auto"/>
                <w:left w:val="none" w:sz="0" w:space="0" w:color="auto"/>
                <w:bottom w:val="none" w:sz="0" w:space="0" w:color="auto"/>
                <w:right w:val="none" w:sz="0" w:space="0" w:color="auto"/>
              </w:divBdr>
              <w:divsChild>
                <w:div w:id="18288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0FC04-860C-41C6-B835-7B8EF48D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dcterms:created xsi:type="dcterms:W3CDTF">2019-11-03T22:08:00Z</dcterms:created>
  <dcterms:modified xsi:type="dcterms:W3CDTF">2019-11-03T22:14:00Z</dcterms:modified>
</cp:coreProperties>
</file>