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32476" w14:textId="6A39DD47" w:rsidR="00612880" w:rsidRPr="00A45C29" w:rsidRDefault="00240ED5" w:rsidP="00A45C29">
      <w:pPr>
        <w:spacing w:line="480" w:lineRule="auto"/>
        <w:rPr>
          <w:sz w:val="28"/>
          <w:szCs w:val="28"/>
        </w:rPr>
      </w:pPr>
      <w:r>
        <w:rPr>
          <w:sz w:val="28"/>
          <w:szCs w:val="28"/>
        </w:rPr>
        <w:t xml:space="preserve">Hello Folks and welcome back to the </w:t>
      </w:r>
      <w:r w:rsidR="00603910" w:rsidRPr="00A45C29">
        <w:rPr>
          <w:sz w:val="28"/>
          <w:szCs w:val="28"/>
        </w:rPr>
        <w:t>Good Judge-</w:t>
      </w:r>
      <w:proofErr w:type="spellStart"/>
      <w:r w:rsidR="00603910" w:rsidRPr="00A45C29">
        <w:rPr>
          <w:sz w:val="28"/>
          <w:szCs w:val="28"/>
        </w:rPr>
        <w:t>Ment</w:t>
      </w:r>
      <w:proofErr w:type="spellEnd"/>
      <w:r w:rsidR="00603910" w:rsidRPr="00A45C29">
        <w:rPr>
          <w:sz w:val="28"/>
          <w:szCs w:val="28"/>
        </w:rPr>
        <w:t xml:space="preserve"> podcast.  I am Wade Padgett.</w:t>
      </w:r>
    </w:p>
    <w:p w14:paraId="6ED75BDF" w14:textId="78D2AA4D" w:rsidR="00603910" w:rsidRPr="00A45C29" w:rsidRDefault="00603910" w:rsidP="00A45C29">
      <w:pPr>
        <w:spacing w:line="480" w:lineRule="auto"/>
        <w:rPr>
          <w:i/>
          <w:iCs/>
          <w:sz w:val="28"/>
          <w:szCs w:val="28"/>
        </w:rPr>
      </w:pPr>
      <w:r w:rsidRPr="00A45C29">
        <w:rPr>
          <w:i/>
          <w:iCs/>
          <w:sz w:val="28"/>
          <w:szCs w:val="28"/>
        </w:rPr>
        <w:t xml:space="preserve">And I am Tain Kell.  </w:t>
      </w:r>
      <w:r w:rsidR="00240ED5">
        <w:rPr>
          <w:i/>
          <w:iCs/>
          <w:sz w:val="28"/>
          <w:szCs w:val="28"/>
        </w:rPr>
        <w:t xml:space="preserve">Today’s episode is another suggestion from our listeners but it was repeated over and over again.  </w:t>
      </w:r>
    </w:p>
    <w:p w14:paraId="2581E992" w14:textId="2BCEE2BF" w:rsidR="00603910" w:rsidRPr="00A45C29" w:rsidRDefault="00240ED5" w:rsidP="00A45C29">
      <w:pPr>
        <w:spacing w:line="480" w:lineRule="auto"/>
        <w:rPr>
          <w:sz w:val="28"/>
          <w:szCs w:val="28"/>
        </w:rPr>
      </w:pPr>
      <w:r>
        <w:rPr>
          <w:sz w:val="28"/>
          <w:szCs w:val="28"/>
        </w:rPr>
        <w:t xml:space="preserve">That’s right!  Our listeners really wanted us to cover </w:t>
      </w:r>
      <w:r w:rsidR="00696A9E" w:rsidRPr="00696A9E">
        <w:rPr>
          <w:sz w:val="28"/>
          <w:szCs w:val="28"/>
        </w:rPr>
        <w:t>O.C.G.A. §</w:t>
      </w:r>
      <w:r w:rsidR="00696A9E">
        <w:rPr>
          <w:sz w:val="28"/>
          <w:szCs w:val="28"/>
        </w:rPr>
        <w:t xml:space="preserve"> 24-4-</w:t>
      </w:r>
      <w:r>
        <w:rPr>
          <w:sz w:val="28"/>
          <w:szCs w:val="28"/>
        </w:rPr>
        <w:t>404(b) and although Mr. Garon Muller is our normal “Evidence Essentials” guest, we asked another one of our colleagues on the Superior Court bench to cover this particular topic.</w:t>
      </w:r>
    </w:p>
    <w:p w14:paraId="5064BF5D" w14:textId="47930962" w:rsidR="00603910" w:rsidRPr="00A45C29" w:rsidRDefault="00240ED5" w:rsidP="00A45C29">
      <w:pPr>
        <w:spacing w:line="480" w:lineRule="auto"/>
        <w:rPr>
          <w:i/>
          <w:iCs/>
          <w:sz w:val="28"/>
          <w:szCs w:val="28"/>
        </w:rPr>
      </w:pPr>
      <w:r>
        <w:rPr>
          <w:i/>
          <w:iCs/>
          <w:sz w:val="28"/>
          <w:szCs w:val="28"/>
        </w:rPr>
        <w:t xml:space="preserve">A few years ago, we attended a seminar where our special guest made a presentation on Rule 404(b) and </w:t>
      </w:r>
      <w:r w:rsidR="00C041B3">
        <w:rPr>
          <w:i/>
          <w:iCs/>
          <w:sz w:val="28"/>
          <w:szCs w:val="28"/>
        </w:rPr>
        <w:t xml:space="preserve">Wade and I </w:t>
      </w:r>
      <w:r>
        <w:rPr>
          <w:i/>
          <w:iCs/>
          <w:sz w:val="28"/>
          <w:szCs w:val="28"/>
        </w:rPr>
        <w:t xml:space="preserve"> looked at one another and </w:t>
      </w:r>
      <w:r w:rsidR="00B25E7E">
        <w:rPr>
          <w:i/>
          <w:iCs/>
          <w:sz w:val="28"/>
          <w:szCs w:val="28"/>
        </w:rPr>
        <w:t xml:space="preserve">said, </w:t>
      </w:r>
      <w:r w:rsidR="00C041B3">
        <w:rPr>
          <w:i/>
          <w:iCs/>
          <w:sz w:val="28"/>
          <w:szCs w:val="28"/>
        </w:rPr>
        <w:t>“</w:t>
      </w:r>
      <w:r w:rsidR="00B25E7E">
        <w:rPr>
          <w:i/>
          <w:iCs/>
          <w:sz w:val="28"/>
          <w:szCs w:val="28"/>
        </w:rPr>
        <w:t>he really needs to share this topic on the podcast.</w:t>
      </w:r>
      <w:r w:rsidR="00C041B3">
        <w:rPr>
          <w:i/>
          <w:iCs/>
          <w:sz w:val="28"/>
          <w:szCs w:val="28"/>
        </w:rPr>
        <w:t>”</w:t>
      </w:r>
    </w:p>
    <w:p w14:paraId="0A43B7E0" w14:textId="4A188713" w:rsidR="00603910" w:rsidRPr="00A45C29" w:rsidRDefault="00B25E7E" w:rsidP="00A45C29">
      <w:pPr>
        <w:spacing w:line="480" w:lineRule="auto"/>
        <w:rPr>
          <w:sz w:val="28"/>
          <w:szCs w:val="28"/>
        </w:rPr>
      </w:pPr>
      <w:r>
        <w:rPr>
          <w:sz w:val="28"/>
          <w:szCs w:val="28"/>
        </w:rPr>
        <w:t xml:space="preserve">Absolutely true.  Our special guest today is the one and only Judge Robert McBurney, Superior Court Judge of the Atlanta Judicial Circuit.  </w:t>
      </w:r>
      <w:r w:rsidR="00696A9E">
        <w:rPr>
          <w:sz w:val="28"/>
          <w:szCs w:val="28"/>
        </w:rPr>
        <w:t xml:space="preserve">He is an expert on a whole bunch of topics but particularly on Rule 404(b).  </w:t>
      </w:r>
      <w:r>
        <w:rPr>
          <w:sz w:val="28"/>
          <w:szCs w:val="28"/>
        </w:rPr>
        <w:t>Judge McBurney, welcome to the Good Judge-</w:t>
      </w:r>
      <w:proofErr w:type="spellStart"/>
      <w:r>
        <w:rPr>
          <w:sz w:val="28"/>
          <w:szCs w:val="28"/>
        </w:rPr>
        <w:t>Ment</w:t>
      </w:r>
      <w:proofErr w:type="spellEnd"/>
      <w:r>
        <w:rPr>
          <w:sz w:val="28"/>
          <w:szCs w:val="28"/>
        </w:rPr>
        <w:t xml:space="preserve"> podcast.</w:t>
      </w:r>
    </w:p>
    <w:p w14:paraId="1B7F2CDC" w14:textId="053B17AA" w:rsidR="00A45C29" w:rsidRDefault="00B25E7E" w:rsidP="00A45C29">
      <w:pPr>
        <w:spacing w:line="480" w:lineRule="auto"/>
        <w:rPr>
          <w:b/>
          <w:bCs/>
          <w:sz w:val="28"/>
          <w:szCs w:val="28"/>
        </w:rPr>
      </w:pPr>
      <w:r>
        <w:rPr>
          <w:b/>
          <w:bCs/>
          <w:sz w:val="28"/>
          <w:szCs w:val="28"/>
        </w:rPr>
        <w:t>Robert:</w:t>
      </w:r>
    </w:p>
    <w:p w14:paraId="47077D38" w14:textId="2481BF67" w:rsidR="00B25E7E" w:rsidRPr="00B25E7E" w:rsidRDefault="00B25E7E" w:rsidP="00A45C29">
      <w:pPr>
        <w:spacing w:line="480" w:lineRule="auto"/>
        <w:rPr>
          <w:b/>
          <w:bCs/>
          <w:sz w:val="28"/>
          <w:szCs w:val="28"/>
        </w:rPr>
      </w:pPr>
      <w:r>
        <w:rPr>
          <w:sz w:val="28"/>
          <w:szCs w:val="28"/>
        </w:rPr>
        <w:pict w14:anchorId="6970B94D">
          <v:rect id="_x0000_i1028" style="width:0;height:1.5pt" o:hralign="center" o:hrstd="t" o:hr="t" fillcolor="#a0a0a0" stroked="f"/>
        </w:pict>
      </w:r>
    </w:p>
    <w:p w14:paraId="6CF5E6A5" w14:textId="73D1BDA1" w:rsidR="00A45C29" w:rsidRDefault="00B25E7E" w:rsidP="00A45C29">
      <w:pPr>
        <w:spacing w:line="480" w:lineRule="auto"/>
        <w:rPr>
          <w:i/>
          <w:iCs/>
          <w:sz w:val="28"/>
          <w:szCs w:val="28"/>
        </w:rPr>
      </w:pPr>
      <w:r>
        <w:rPr>
          <w:i/>
          <w:iCs/>
          <w:sz w:val="28"/>
          <w:szCs w:val="28"/>
        </w:rPr>
        <w:lastRenderedPageBreak/>
        <w:t>Tell our listeners a little about your path to the Superior Court bench.</w:t>
      </w:r>
    </w:p>
    <w:p w14:paraId="5064C498" w14:textId="11F73B02" w:rsidR="00B25E7E" w:rsidRDefault="00B25E7E" w:rsidP="00264C6F">
      <w:pPr>
        <w:tabs>
          <w:tab w:val="center" w:pos="4680"/>
        </w:tabs>
        <w:spacing w:line="480" w:lineRule="auto"/>
        <w:rPr>
          <w:b/>
          <w:bCs/>
          <w:sz w:val="28"/>
          <w:szCs w:val="28"/>
        </w:rPr>
      </w:pPr>
      <w:r>
        <w:rPr>
          <w:b/>
          <w:bCs/>
          <w:sz w:val="28"/>
          <w:szCs w:val="28"/>
        </w:rPr>
        <w:t>Robert:</w:t>
      </w:r>
      <w:r w:rsidR="00264C6F">
        <w:rPr>
          <w:b/>
          <w:bCs/>
          <w:sz w:val="28"/>
          <w:szCs w:val="28"/>
        </w:rPr>
        <w:tab/>
      </w:r>
    </w:p>
    <w:p w14:paraId="244DC3DB" w14:textId="7884FCAF" w:rsidR="00B25E7E" w:rsidRDefault="00B25E7E" w:rsidP="00A45C29">
      <w:pPr>
        <w:spacing w:line="480" w:lineRule="auto"/>
        <w:rPr>
          <w:sz w:val="28"/>
          <w:szCs w:val="28"/>
        </w:rPr>
      </w:pPr>
      <w:r>
        <w:rPr>
          <w:sz w:val="28"/>
          <w:szCs w:val="28"/>
        </w:rPr>
        <w:pict w14:anchorId="01F5DA5C">
          <v:rect id="_x0000_i1029" style="width:0;height:1.5pt" o:hralign="center" o:hrstd="t" o:hr="t" fillcolor="#a0a0a0" stroked="f"/>
        </w:pict>
      </w:r>
    </w:p>
    <w:p w14:paraId="20DEB046" w14:textId="04528EA4" w:rsidR="00C505A7" w:rsidRDefault="00C505A7" w:rsidP="00A45C29">
      <w:pPr>
        <w:spacing w:line="480" w:lineRule="auto"/>
        <w:rPr>
          <w:sz w:val="28"/>
          <w:szCs w:val="28"/>
        </w:rPr>
      </w:pPr>
      <w:r>
        <w:rPr>
          <w:sz w:val="28"/>
          <w:szCs w:val="28"/>
        </w:rPr>
        <w:t>Tain, I attended Georgia State University, College of Law.  I had the huge honor of learning evidence from Professor Paul Milich.  When we got to the topic of Rule 404(b), he talked a great deal about the prohibited “propensity use” of character evidence.  Although you did not learn evidence from Professor Milich, explain the propensity use of character evidence and why that is prohibited</w:t>
      </w:r>
      <w:r w:rsidR="000A12EF">
        <w:rPr>
          <w:sz w:val="28"/>
          <w:szCs w:val="28"/>
        </w:rPr>
        <w:t>.</w:t>
      </w:r>
    </w:p>
    <w:p w14:paraId="558697CF" w14:textId="3B5091BD" w:rsidR="00C505A7" w:rsidRDefault="00C505A7" w:rsidP="00A45C29">
      <w:pPr>
        <w:spacing w:line="480" w:lineRule="auto"/>
        <w:rPr>
          <w:i/>
          <w:iCs/>
          <w:sz w:val="28"/>
          <w:szCs w:val="28"/>
        </w:rPr>
      </w:pPr>
      <w:r>
        <w:rPr>
          <w:i/>
          <w:iCs/>
          <w:sz w:val="28"/>
          <w:szCs w:val="28"/>
        </w:rPr>
        <w:t xml:space="preserve">The idea is that </w:t>
      </w:r>
      <w:r w:rsidR="001560FF">
        <w:rPr>
          <w:i/>
          <w:iCs/>
          <w:sz w:val="28"/>
          <w:szCs w:val="28"/>
        </w:rPr>
        <w:t>a jury should determine whether a defendant is guilty or not guilty of a crime based upon the evidence relating to the offense on trial.  If a party</w:t>
      </w:r>
      <w:r w:rsidR="000A12EF">
        <w:rPr>
          <w:i/>
          <w:iCs/>
          <w:sz w:val="28"/>
          <w:szCs w:val="28"/>
        </w:rPr>
        <w:t xml:space="preserve"> (usually the prosecutor)</w:t>
      </w:r>
      <w:r w:rsidR="001560FF">
        <w:rPr>
          <w:i/>
          <w:iCs/>
          <w:sz w:val="28"/>
          <w:szCs w:val="28"/>
        </w:rPr>
        <w:t xml:space="preserve"> is allowed to present evidence that the defendant previously committed another crime, there is a huge danger that the jury will conclude that the defendant is the type of person who commits crimes so he probably committed the crime charged in this case, regardless of the evidence of his/her actual involvement in this crime.</w:t>
      </w:r>
    </w:p>
    <w:p w14:paraId="3931EB82" w14:textId="668F6598" w:rsidR="001560FF" w:rsidRPr="001560FF" w:rsidRDefault="001560FF" w:rsidP="00A45C29">
      <w:pPr>
        <w:spacing w:line="480" w:lineRule="auto"/>
        <w:rPr>
          <w:b/>
          <w:bCs/>
          <w:sz w:val="28"/>
          <w:szCs w:val="28"/>
        </w:rPr>
      </w:pPr>
      <w:r>
        <w:rPr>
          <w:sz w:val="28"/>
          <w:szCs w:val="28"/>
        </w:rPr>
        <w:t>That’s right.  If the defendant usually commits crimes, he has the propensity to commit crimes in general and, therefore, he probably committed this crime also.</w:t>
      </w:r>
    </w:p>
    <w:p w14:paraId="51637C3B" w14:textId="70A1C297" w:rsidR="00566EA5" w:rsidRDefault="000D1357" w:rsidP="00A45C29">
      <w:pPr>
        <w:spacing w:line="480" w:lineRule="auto"/>
        <w:rPr>
          <w:sz w:val="28"/>
          <w:szCs w:val="28"/>
        </w:rPr>
      </w:pPr>
      <w:r>
        <w:rPr>
          <w:sz w:val="28"/>
          <w:szCs w:val="28"/>
        </w:rPr>
        <w:pict w14:anchorId="08B30EEC">
          <v:rect id="_x0000_i1025" style="width:0;height:1.5pt" o:hralign="center" o:hrstd="t" o:hr="t" fillcolor="#a0a0a0" stroked="f"/>
        </w:pict>
      </w:r>
    </w:p>
    <w:p w14:paraId="5464EC0A" w14:textId="329E2883" w:rsidR="00566EA5" w:rsidRPr="00C041B3" w:rsidRDefault="00B25E7E" w:rsidP="00A45C29">
      <w:pPr>
        <w:spacing w:line="480" w:lineRule="auto"/>
        <w:rPr>
          <w:b/>
          <w:bCs/>
          <w:i/>
          <w:iCs/>
          <w:sz w:val="28"/>
          <w:szCs w:val="28"/>
        </w:rPr>
      </w:pPr>
      <w:r w:rsidRPr="00C041B3">
        <w:rPr>
          <w:b/>
          <w:bCs/>
          <w:i/>
          <w:iCs/>
          <w:sz w:val="28"/>
          <w:szCs w:val="28"/>
        </w:rPr>
        <w:lastRenderedPageBreak/>
        <w:t>[Robert-the following is a list of issues/topics we may elect to cover</w:t>
      </w:r>
      <w:r w:rsidR="00C505A7" w:rsidRPr="00C041B3">
        <w:rPr>
          <w:b/>
          <w:bCs/>
          <w:i/>
          <w:iCs/>
          <w:sz w:val="28"/>
          <w:szCs w:val="28"/>
        </w:rPr>
        <w:t xml:space="preserve"> while we talk.  We really want this to be conversational so do not feel the need to follow this in any sort of order]</w:t>
      </w:r>
    </w:p>
    <w:p w14:paraId="632FEED5" w14:textId="2EC93D0B" w:rsidR="00566EA5" w:rsidRDefault="000D1357" w:rsidP="00A45C29">
      <w:pPr>
        <w:spacing w:line="480" w:lineRule="auto"/>
        <w:rPr>
          <w:b/>
          <w:bCs/>
          <w:sz w:val="28"/>
          <w:szCs w:val="28"/>
        </w:rPr>
      </w:pPr>
      <w:r>
        <w:rPr>
          <w:sz w:val="28"/>
          <w:szCs w:val="28"/>
        </w:rPr>
        <w:pict w14:anchorId="0388B660">
          <v:rect id="_x0000_i1026" style="width:0;height:1.5pt" o:hralign="center" o:hrstd="t" o:hr="t" fillcolor="#a0a0a0" stroked="f"/>
        </w:pict>
      </w:r>
    </w:p>
    <w:p w14:paraId="1D0A4B1F" w14:textId="6B53D257" w:rsidR="00566EA5" w:rsidRDefault="00566EA5" w:rsidP="00A45C29">
      <w:pPr>
        <w:spacing w:line="480" w:lineRule="auto"/>
        <w:rPr>
          <w:b/>
          <w:bCs/>
          <w:sz w:val="28"/>
          <w:szCs w:val="28"/>
        </w:rPr>
      </w:pPr>
      <w:r>
        <w:rPr>
          <w:b/>
          <w:bCs/>
          <w:sz w:val="28"/>
          <w:szCs w:val="28"/>
        </w:rPr>
        <w:t>{bullet point topics we need to cover – not necessarily in this order}</w:t>
      </w:r>
    </w:p>
    <w:p w14:paraId="4F46E397" w14:textId="1B234574" w:rsidR="000A12EF" w:rsidRDefault="000A12EF" w:rsidP="00AC7A81">
      <w:pPr>
        <w:pStyle w:val="ListParagraph"/>
        <w:numPr>
          <w:ilvl w:val="0"/>
          <w:numId w:val="3"/>
        </w:numPr>
        <w:spacing w:line="480" w:lineRule="auto"/>
        <w:rPr>
          <w:b/>
          <w:bCs/>
          <w:sz w:val="28"/>
          <w:szCs w:val="28"/>
        </w:rPr>
      </w:pPr>
      <w:r>
        <w:rPr>
          <w:b/>
          <w:bCs/>
          <w:sz w:val="28"/>
          <w:szCs w:val="28"/>
        </w:rPr>
        <w:t>Rule 404(b)</w:t>
      </w:r>
    </w:p>
    <w:p w14:paraId="332C3D19" w14:textId="1BEBCF35" w:rsidR="000A12EF" w:rsidRPr="000A12EF" w:rsidRDefault="000A12EF" w:rsidP="000A12EF">
      <w:pPr>
        <w:pStyle w:val="ListParagraph"/>
        <w:numPr>
          <w:ilvl w:val="1"/>
          <w:numId w:val="3"/>
        </w:numPr>
        <w:spacing w:line="480" w:lineRule="auto"/>
        <w:rPr>
          <w:sz w:val="28"/>
          <w:szCs w:val="28"/>
        </w:rPr>
      </w:pPr>
      <w:r w:rsidRPr="000A12EF">
        <w:rPr>
          <w:sz w:val="28"/>
          <w:szCs w:val="28"/>
        </w:rPr>
        <w:t xml:space="preserve">(b) Evidence of other crimes, wrongs, or acts shall not be admissible to prove the character of a person in order to show action in conformity therewith. It may, however, be admissible for other purposes, including, </w:t>
      </w:r>
      <w:r w:rsidRPr="000A12EF">
        <w:rPr>
          <w:sz w:val="28"/>
          <w:szCs w:val="28"/>
          <w:u w:val="single"/>
        </w:rPr>
        <w:t>but not limited to</w:t>
      </w:r>
      <w:r w:rsidRPr="000A12EF">
        <w:rPr>
          <w:sz w:val="28"/>
          <w:szCs w:val="28"/>
        </w:rPr>
        <w:t xml:space="preserve">, proof of </w:t>
      </w:r>
      <w:r w:rsidRPr="000A12EF">
        <w:rPr>
          <w:b/>
          <w:bCs/>
          <w:sz w:val="28"/>
          <w:szCs w:val="28"/>
        </w:rPr>
        <w:t>motive</w:t>
      </w:r>
      <w:r w:rsidRPr="000A12EF">
        <w:rPr>
          <w:sz w:val="28"/>
          <w:szCs w:val="28"/>
        </w:rPr>
        <w:t xml:space="preserve">, </w:t>
      </w:r>
      <w:r w:rsidRPr="000A12EF">
        <w:rPr>
          <w:b/>
          <w:bCs/>
          <w:sz w:val="28"/>
          <w:szCs w:val="28"/>
        </w:rPr>
        <w:t>opportunity</w:t>
      </w:r>
      <w:r w:rsidRPr="000A12EF">
        <w:rPr>
          <w:sz w:val="28"/>
          <w:szCs w:val="28"/>
        </w:rPr>
        <w:t xml:space="preserve">, </w:t>
      </w:r>
      <w:r w:rsidRPr="000A12EF">
        <w:rPr>
          <w:b/>
          <w:bCs/>
          <w:sz w:val="28"/>
          <w:szCs w:val="28"/>
        </w:rPr>
        <w:t>intent</w:t>
      </w:r>
      <w:r w:rsidRPr="000A12EF">
        <w:rPr>
          <w:sz w:val="28"/>
          <w:szCs w:val="28"/>
        </w:rPr>
        <w:t>,</w:t>
      </w:r>
      <w:r w:rsidRPr="000A12EF">
        <w:rPr>
          <w:b/>
          <w:bCs/>
          <w:sz w:val="28"/>
          <w:szCs w:val="28"/>
        </w:rPr>
        <w:t xml:space="preserve"> preparation</w:t>
      </w:r>
      <w:r w:rsidRPr="000A12EF">
        <w:rPr>
          <w:sz w:val="28"/>
          <w:szCs w:val="28"/>
        </w:rPr>
        <w:t xml:space="preserve">, </w:t>
      </w:r>
      <w:r w:rsidRPr="000A12EF">
        <w:rPr>
          <w:b/>
          <w:bCs/>
          <w:sz w:val="28"/>
          <w:szCs w:val="28"/>
        </w:rPr>
        <w:t>plan</w:t>
      </w:r>
      <w:r w:rsidRPr="000A12EF">
        <w:rPr>
          <w:sz w:val="28"/>
          <w:szCs w:val="28"/>
        </w:rPr>
        <w:t xml:space="preserve">, </w:t>
      </w:r>
      <w:r w:rsidRPr="000A12EF">
        <w:rPr>
          <w:b/>
          <w:bCs/>
          <w:sz w:val="28"/>
          <w:szCs w:val="28"/>
        </w:rPr>
        <w:t>knowledge</w:t>
      </w:r>
      <w:r w:rsidRPr="000A12EF">
        <w:rPr>
          <w:sz w:val="28"/>
          <w:szCs w:val="28"/>
        </w:rPr>
        <w:t>,</w:t>
      </w:r>
      <w:r w:rsidRPr="000A12EF">
        <w:rPr>
          <w:b/>
          <w:bCs/>
          <w:sz w:val="28"/>
          <w:szCs w:val="28"/>
        </w:rPr>
        <w:t xml:space="preserve"> identity</w:t>
      </w:r>
      <w:r w:rsidRPr="000A12EF">
        <w:rPr>
          <w:sz w:val="28"/>
          <w:szCs w:val="28"/>
        </w:rPr>
        <w:t xml:space="preserve">, or </w:t>
      </w:r>
      <w:r w:rsidRPr="000A12EF">
        <w:rPr>
          <w:b/>
          <w:bCs/>
          <w:sz w:val="28"/>
          <w:szCs w:val="28"/>
        </w:rPr>
        <w:t>absence of mistake or accident</w:t>
      </w:r>
      <w:r w:rsidRPr="000A12EF">
        <w:rPr>
          <w:sz w:val="28"/>
          <w:szCs w:val="28"/>
        </w:rPr>
        <w:t xml:space="preserve">. The prosecution in a criminal proceeding shall provide reasonable notice to the defense in advance of trial, unless pretrial notice is excused by the court upon good cause shown, of the general nature of any such evidence it intends to introduce at trial. Notice shall not be required when the evidence of prior crimes, wrongs, or acts is offered to prove the circumstances immediately </w:t>
      </w:r>
      <w:r w:rsidRPr="000A12EF">
        <w:rPr>
          <w:sz w:val="28"/>
          <w:szCs w:val="28"/>
        </w:rPr>
        <w:lastRenderedPageBreak/>
        <w:t>surrounding the charged crime, motive, or prior difficulties between the accused and the alleged victim.</w:t>
      </w:r>
    </w:p>
    <w:p w14:paraId="42168CFE" w14:textId="1CF3C7DB" w:rsidR="00E806A0" w:rsidRDefault="00264C6F" w:rsidP="00AC7A81">
      <w:pPr>
        <w:pStyle w:val="ListParagraph"/>
        <w:numPr>
          <w:ilvl w:val="0"/>
          <w:numId w:val="3"/>
        </w:numPr>
        <w:spacing w:line="480" w:lineRule="auto"/>
        <w:rPr>
          <w:b/>
          <w:bCs/>
          <w:sz w:val="28"/>
          <w:szCs w:val="28"/>
        </w:rPr>
      </w:pPr>
      <w:r>
        <w:rPr>
          <w:b/>
          <w:bCs/>
          <w:sz w:val="28"/>
          <w:szCs w:val="28"/>
        </w:rPr>
        <w:t>“</w:t>
      </w:r>
      <w:r w:rsidRPr="00264C6F">
        <w:rPr>
          <w:b/>
          <w:bCs/>
          <w:sz w:val="28"/>
          <w:szCs w:val="28"/>
        </w:rPr>
        <w:t>To admit evidence under Rule 404(b), the State must show three things: (1) that the evidence is relevant to an issue in the case other than the defendant’s character; (2) that the probative value of the evidence is not substantially outweighed by its undue prejudice; and (3) that there is sufficient proof for a jury to find by a preponderance of the evidence that the defendant committed the other act.”</w:t>
      </w:r>
    </w:p>
    <w:p w14:paraId="0ACB80BE" w14:textId="58265687" w:rsidR="00264C6F" w:rsidRDefault="00264C6F" w:rsidP="00264C6F">
      <w:pPr>
        <w:pStyle w:val="ListParagraph"/>
        <w:numPr>
          <w:ilvl w:val="1"/>
          <w:numId w:val="3"/>
        </w:numPr>
        <w:spacing w:line="480" w:lineRule="auto"/>
        <w:rPr>
          <w:sz w:val="28"/>
          <w:szCs w:val="28"/>
        </w:rPr>
      </w:pPr>
      <w:r w:rsidRPr="00264C6F">
        <w:rPr>
          <w:i/>
          <w:iCs/>
          <w:sz w:val="28"/>
          <w:szCs w:val="28"/>
        </w:rPr>
        <w:t>Allen v. State</w:t>
      </w:r>
      <w:r w:rsidRPr="00264C6F">
        <w:rPr>
          <w:sz w:val="28"/>
          <w:szCs w:val="28"/>
        </w:rPr>
        <w:t>, S20A1081</w:t>
      </w:r>
      <w:r w:rsidRPr="00264C6F">
        <w:rPr>
          <w:i/>
          <w:iCs/>
          <w:sz w:val="28"/>
          <w:szCs w:val="28"/>
        </w:rPr>
        <w:t xml:space="preserve"> </w:t>
      </w:r>
      <w:r w:rsidRPr="00264C6F">
        <w:rPr>
          <w:sz w:val="28"/>
          <w:szCs w:val="28"/>
        </w:rPr>
        <w:t xml:space="preserve">and </w:t>
      </w:r>
      <w:r w:rsidRPr="00264C6F">
        <w:rPr>
          <w:i/>
          <w:iCs/>
          <w:sz w:val="28"/>
          <w:szCs w:val="28"/>
        </w:rPr>
        <w:t>McCray v. State</w:t>
      </w:r>
      <w:r w:rsidRPr="00264C6F">
        <w:rPr>
          <w:sz w:val="28"/>
          <w:szCs w:val="28"/>
        </w:rPr>
        <w:t xml:space="preserve">, and S20A1082, Ga. Supreme Court (decided jointly on November 16, 2020), citing </w:t>
      </w:r>
      <w:r w:rsidRPr="00264C6F">
        <w:rPr>
          <w:i/>
          <w:iCs/>
          <w:sz w:val="28"/>
          <w:szCs w:val="28"/>
        </w:rPr>
        <w:t>Kirby v. State</w:t>
      </w:r>
      <w:r w:rsidRPr="00264C6F">
        <w:rPr>
          <w:sz w:val="28"/>
          <w:szCs w:val="28"/>
        </w:rPr>
        <w:t>, 304 Ga. 472, 479 (2018)</w:t>
      </w:r>
      <w:r w:rsidR="005A0E4E">
        <w:rPr>
          <w:sz w:val="28"/>
          <w:szCs w:val="28"/>
        </w:rPr>
        <w:t xml:space="preserve">; </w:t>
      </w:r>
      <w:r w:rsidR="005A0E4E">
        <w:rPr>
          <w:i/>
          <w:iCs/>
          <w:sz w:val="28"/>
          <w:szCs w:val="28"/>
        </w:rPr>
        <w:t>Smart v. State</w:t>
      </w:r>
      <w:r w:rsidR="005A0E4E">
        <w:rPr>
          <w:sz w:val="28"/>
          <w:szCs w:val="28"/>
        </w:rPr>
        <w:t>, 299 Ga. 414, 417 (2016).</w:t>
      </w:r>
    </w:p>
    <w:p w14:paraId="62882B7E" w14:textId="19C0A634" w:rsidR="00E04E48" w:rsidRPr="00E04E48" w:rsidRDefault="00E04E48" w:rsidP="00E04E48">
      <w:pPr>
        <w:spacing w:line="480" w:lineRule="auto"/>
        <w:rPr>
          <w:sz w:val="28"/>
          <w:szCs w:val="28"/>
        </w:rPr>
      </w:pPr>
      <w:r>
        <w:rPr>
          <w:sz w:val="28"/>
          <w:szCs w:val="28"/>
        </w:rPr>
        <w:pict w14:anchorId="53630B98">
          <v:rect id="_x0000_i1031" style="width:0;height:1.5pt" o:hralign="center" o:hrstd="t" o:hr="t" fillcolor="#a0a0a0" stroked="f"/>
        </w:pict>
      </w:r>
    </w:p>
    <w:p w14:paraId="0D6B3BEF" w14:textId="13D532E6" w:rsidR="00D34266" w:rsidRPr="00D34266" w:rsidRDefault="00D34266" w:rsidP="00AC7A81">
      <w:pPr>
        <w:pStyle w:val="ListParagraph"/>
        <w:numPr>
          <w:ilvl w:val="0"/>
          <w:numId w:val="3"/>
        </w:numPr>
        <w:spacing w:line="480" w:lineRule="auto"/>
        <w:rPr>
          <w:b/>
          <w:bCs/>
          <w:sz w:val="28"/>
          <w:szCs w:val="28"/>
        </w:rPr>
      </w:pPr>
      <w:r>
        <w:rPr>
          <w:b/>
          <w:bCs/>
          <w:sz w:val="28"/>
          <w:szCs w:val="28"/>
        </w:rPr>
        <w:t>Pretrial notice</w:t>
      </w:r>
    </w:p>
    <w:p w14:paraId="750E6656" w14:textId="79C5A087" w:rsidR="00D34266" w:rsidRPr="00C55C6A" w:rsidRDefault="00D34266" w:rsidP="00D34266">
      <w:pPr>
        <w:pStyle w:val="ListParagraph"/>
        <w:numPr>
          <w:ilvl w:val="1"/>
          <w:numId w:val="3"/>
        </w:numPr>
        <w:spacing w:line="480" w:lineRule="auto"/>
        <w:rPr>
          <w:b/>
          <w:bCs/>
          <w:sz w:val="28"/>
          <w:szCs w:val="28"/>
        </w:rPr>
      </w:pPr>
      <w:r>
        <w:rPr>
          <w:sz w:val="28"/>
          <w:szCs w:val="28"/>
        </w:rPr>
        <w:t>Required under language of 404(b) but not required if the evidence is offered to prove pr</w:t>
      </w:r>
      <w:r w:rsidR="00C55C6A">
        <w:rPr>
          <w:sz w:val="28"/>
          <w:szCs w:val="28"/>
        </w:rPr>
        <w:t>ior difficulties between parties or is intrinsic evidence.</w:t>
      </w:r>
    </w:p>
    <w:p w14:paraId="2DAC4E0F" w14:textId="1108CAED" w:rsidR="00C55C6A" w:rsidRPr="00C55C6A" w:rsidRDefault="00C55C6A" w:rsidP="00C55C6A">
      <w:pPr>
        <w:pStyle w:val="ListParagraph"/>
        <w:numPr>
          <w:ilvl w:val="2"/>
          <w:numId w:val="3"/>
        </w:numPr>
        <w:spacing w:line="480" w:lineRule="auto"/>
        <w:rPr>
          <w:b/>
          <w:bCs/>
          <w:sz w:val="28"/>
          <w:szCs w:val="28"/>
        </w:rPr>
      </w:pPr>
      <w:r>
        <w:rPr>
          <w:sz w:val="28"/>
          <w:szCs w:val="28"/>
        </w:rPr>
        <w:lastRenderedPageBreak/>
        <w:t>But lawyers who appear before me understand that whether the other act is intrinsic is a matter that should be determined prior to trial</w:t>
      </w:r>
    </w:p>
    <w:p w14:paraId="195DA4BE" w14:textId="3C2D4916" w:rsidR="00C55C6A" w:rsidRPr="00C55C6A" w:rsidRDefault="00C55C6A" w:rsidP="00C55C6A">
      <w:pPr>
        <w:spacing w:line="480" w:lineRule="auto"/>
        <w:rPr>
          <w:b/>
          <w:bCs/>
          <w:sz w:val="28"/>
          <w:szCs w:val="28"/>
        </w:rPr>
      </w:pPr>
      <w:r>
        <w:rPr>
          <w:sz w:val="28"/>
          <w:szCs w:val="28"/>
        </w:rPr>
        <w:pict w14:anchorId="414CD8FD">
          <v:rect id="_x0000_i1039" style="width:0;height:1.5pt" o:hralign="center" o:hrstd="t" o:hr="t" fillcolor="#a0a0a0" stroked="f"/>
        </w:pict>
      </w:r>
    </w:p>
    <w:p w14:paraId="09B93F6E" w14:textId="1CD75F2E" w:rsidR="00566EA5" w:rsidRPr="00B211CF" w:rsidRDefault="004B6A54" w:rsidP="00AC7A81">
      <w:pPr>
        <w:pStyle w:val="ListParagraph"/>
        <w:numPr>
          <w:ilvl w:val="0"/>
          <w:numId w:val="3"/>
        </w:numPr>
        <w:spacing w:line="480" w:lineRule="auto"/>
        <w:rPr>
          <w:b/>
          <w:bCs/>
          <w:sz w:val="28"/>
          <w:szCs w:val="28"/>
        </w:rPr>
      </w:pPr>
      <w:r>
        <w:rPr>
          <w:sz w:val="28"/>
          <w:szCs w:val="28"/>
        </w:rPr>
        <w:t>Prior to 2013, we frequently referred to this topic as “</w:t>
      </w:r>
      <w:r w:rsidRPr="00C55C6A">
        <w:rPr>
          <w:b/>
          <w:bCs/>
          <w:sz w:val="28"/>
          <w:szCs w:val="28"/>
        </w:rPr>
        <w:t>similar transactions</w:t>
      </w:r>
      <w:r>
        <w:rPr>
          <w:sz w:val="28"/>
          <w:szCs w:val="28"/>
        </w:rPr>
        <w:t>” evidence but now, under 404(b) the statute refers to them as “other crimes, wrongs or acts”</w:t>
      </w:r>
    </w:p>
    <w:p w14:paraId="678B44B6" w14:textId="6A18BA24" w:rsidR="00B211CF" w:rsidRPr="00B211CF" w:rsidRDefault="00B211CF" w:rsidP="00AC7A81">
      <w:pPr>
        <w:pStyle w:val="ListParagraph"/>
        <w:numPr>
          <w:ilvl w:val="0"/>
          <w:numId w:val="3"/>
        </w:numPr>
        <w:spacing w:line="480" w:lineRule="auto"/>
        <w:rPr>
          <w:b/>
          <w:bCs/>
          <w:sz w:val="28"/>
          <w:szCs w:val="28"/>
        </w:rPr>
      </w:pPr>
      <w:r>
        <w:rPr>
          <w:sz w:val="28"/>
          <w:szCs w:val="28"/>
        </w:rPr>
        <w:t>404(b) did away with phrases such as “course of conduct” and “bent of mind”</w:t>
      </w:r>
    </w:p>
    <w:p w14:paraId="51A9EDB0" w14:textId="03C11A13" w:rsidR="00B211CF" w:rsidRPr="00B211CF" w:rsidRDefault="00B211CF" w:rsidP="00B211CF">
      <w:pPr>
        <w:pStyle w:val="ListParagraph"/>
        <w:numPr>
          <w:ilvl w:val="1"/>
          <w:numId w:val="3"/>
        </w:numPr>
        <w:spacing w:line="480" w:lineRule="auto"/>
        <w:rPr>
          <w:b/>
          <w:bCs/>
          <w:sz w:val="28"/>
          <w:szCs w:val="28"/>
        </w:rPr>
      </w:pPr>
      <w:r>
        <w:rPr>
          <w:sz w:val="28"/>
          <w:szCs w:val="28"/>
        </w:rPr>
        <w:t>In all candor, those phrases were really just fancy ways of saying “propensity” – The defendant usually acts in a certain way and, therefore, be probably did on this occasion</w:t>
      </w:r>
    </w:p>
    <w:p w14:paraId="2211EDE5" w14:textId="69F11995" w:rsidR="00B211CF" w:rsidRPr="00B211CF" w:rsidRDefault="00B211CF" w:rsidP="00B211CF">
      <w:pPr>
        <w:spacing w:line="480" w:lineRule="auto"/>
        <w:rPr>
          <w:b/>
          <w:bCs/>
          <w:sz w:val="28"/>
          <w:szCs w:val="28"/>
        </w:rPr>
      </w:pPr>
      <w:r>
        <w:rPr>
          <w:sz w:val="28"/>
          <w:szCs w:val="28"/>
        </w:rPr>
        <w:pict w14:anchorId="62261499">
          <v:rect id="_x0000_i1038" style="width:0;height:1.5pt" o:hralign="center" o:hrstd="t" o:hr="t" fillcolor="#a0a0a0" stroked="f"/>
        </w:pict>
      </w:r>
    </w:p>
    <w:p w14:paraId="766FE73B" w14:textId="4A76F284" w:rsidR="004B6A54" w:rsidRPr="004B6A54" w:rsidRDefault="004B6A54" w:rsidP="004B6A54">
      <w:pPr>
        <w:pStyle w:val="ListParagraph"/>
        <w:numPr>
          <w:ilvl w:val="1"/>
          <w:numId w:val="3"/>
        </w:numPr>
        <w:spacing w:line="480" w:lineRule="auto"/>
        <w:rPr>
          <w:b/>
          <w:bCs/>
          <w:sz w:val="28"/>
          <w:szCs w:val="28"/>
        </w:rPr>
      </w:pPr>
      <w:r>
        <w:rPr>
          <w:sz w:val="28"/>
          <w:szCs w:val="28"/>
        </w:rPr>
        <w:t>So, how important is similarity under 404(b)?</w:t>
      </w:r>
    </w:p>
    <w:p w14:paraId="504292AF" w14:textId="42EA1B88" w:rsidR="004B6A54" w:rsidRPr="00E04E48" w:rsidRDefault="004B6A54" w:rsidP="004B6A54">
      <w:pPr>
        <w:pStyle w:val="ListParagraph"/>
        <w:numPr>
          <w:ilvl w:val="1"/>
          <w:numId w:val="3"/>
        </w:numPr>
        <w:spacing w:line="480" w:lineRule="auto"/>
        <w:rPr>
          <w:b/>
          <w:bCs/>
          <w:sz w:val="28"/>
          <w:szCs w:val="28"/>
        </w:rPr>
      </w:pPr>
      <w:r>
        <w:rPr>
          <w:sz w:val="28"/>
          <w:szCs w:val="28"/>
        </w:rPr>
        <w:t xml:space="preserve">See </w:t>
      </w:r>
      <w:r>
        <w:rPr>
          <w:i/>
          <w:iCs/>
          <w:sz w:val="28"/>
          <w:szCs w:val="28"/>
        </w:rPr>
        <w:t>Kirby v. State</w:t>
      </w:r>
      <w:r>
        <w:rPr>
          <w:sz w:val="28"/>
          <w:szCs w:val="28"/>
        </w:rPr>
        <w:t xml:space="preserve">, 304 Ga. 472, 486-487 (2018) and </w:t>
      </w:r>
      <w:r>
        <w:rPr>
          <w:i/>
          <w:iCs/>
          <w:sz w:val="28"/>
          <w:szCs w:val="28"/>
        </w:rPr>
        <w:t>Strong v. State</w:t>
      </w:r>
      <w:r>
        <w:rPr>
          <w:sz w:val="28"/>
          <w:szCs w:val="28"/>
        </w:rPr>
        <w:t xml:space="preserve">, __ Ga. __, 845 S.E.2d 653, </w:t>
      </w:r>
      <w:r w:rsidR="00DC1FBD">
        <w:rPr>
          <w:sz w:val="28"/>
          <w:szCs w:val="28"/>
        </w:rPr>
        <w:t xml:space="preserve">667 </w:t>
      </w:r>
      <w:r>
        <w:rPr>
          <w:sz w:val="28"/>
          <w:szCs w:val="28"/>
        </w:rPr>
        <w:t>(2020)</w:t>
      </w:r>
      <w:r w:rsidR="00DC1FBD">
        <w:rPr>
          <w:sz w:val="28"/>
          <w:szCs w:val="28"/>
        </w:rPr>
        <w:t xml:space="preserve"> (“</w:t>
      </w:r>
      <w:r w:rsidR="00DC1FBD" w:rsidRPr="00DC1FBD">
        <w:rPr>
          <w:sz w:val="28"/>
          <w:szCs w:val="28"/>
        </w:rPr>
        <w:t xml:space="preserve">Moreover, the other acts had few similarities to, and major differences from, the charged </w:t>
      </w:r>
      <w:r w:rsidR="00DC1FBD" w:rsidRPr="00DC1FBD">
        <w:rPr>
          <w:sz w:val="28"/>
          <w:szCs w:val="28"/>
        </w:rPr>
        <w:lastRenderedPageBreak/>
        <w:t>crimes. See </w:t>
      </w:r>
      <w:r w:rsidR="00DC1FBD" w:rsidRPr="00DC1FBD">
        <w:rPr>
          <w:i/>
          <w:iCs/>
          <w:sz w:val="28"/>
          <w:szCs w:val="28"/>
        </w:rPr>
        <w:t>Brooks v. State</w:t>
      </w:r>
      <w:r w:rsidR="00DC1FBD" w:rsidRPr="00DC1FBD">
        <w:rPr>
          <w:sz w:val="28"/>
          <w:szCs w:val="28"/>
        </w:rPr>
        <w:t xml:space="preserve">, 298 Ga. 722, 725-726 &amp; n.10, 783 S.E.2d 895 (2016) (explaining that a “major difference” between Georgia's current Evidence Code and our old </w:t>
      </w:r>
      <w:r w:rsidR="00E12F81">
        <w:rPr>
          <w:sz w:val="28"/>
          <w:szCs w:val="28"/>
        </w:rPr>
        <w:t>‘</w:t>
      </w:r>
      <w:r w:rsidR="00DC1FBD" w:rsidRPr="00DC1FBD">
        <w:rPr>
          <w:sz w:val="28"/>
          <w:szCs w:val="28"/>
        </w:rPr>
        <w:t>similar transaction</w:t>
      </w:r>
      <w:r w:rsidR="00E12F81">
        <w:rPr>
          <w:sz w:val="28"/>
          <w:szCs w:val="28"/>
        </w:rPr>
        <w:t>’</w:t>
      </w:r>
      <w:r w:rsidR="00DC1FBD" w:rsidRPr="00DC1FBD">
        <w:rPr>
          <w:sz w:val="28"/>
          <w:szCs w:val="28"/>
        </w:rPr>
        <w:t xml:space="preserve"> case law is the need under Rule 404 (b) to consider the dissimilarities as well as the similarities between the extrinsic act and the charged act</w:t>
      </w:r>
      <w:r w:rsidR="00DC1FBD">
        <w:rPr>
          <w:sz w:val="28"/>
          <w:szCs w:val="28"/>
        </w:rPr>
        <w:t>”</w:t>
      </w:r>
      <w:r w:rsidR="00DC1FBD" w:rsidRPr="00DC1FBD">
        <w:rPr>
          <w:sz w:val="28"/>
          <w:szCs w:val="28"/>
        </w:rPr>
        <w:t>).</w:t>
      </w:r>
    </w:p>
    <w:p w14:paraId="3D581758" w14:textId="3059AF67" w:rsidR="00E04E48" w:rsidRDefault="00E04E48" w:rsidP="004B6A54">
      <w:pPr>
        <w:pStyle w:val="ListParagraph"/>
        <w:numPr>
          <w:ilvl w:val="1"/>
          <w:numId w:val="3"/>
        </w:numPr>
        <w:spacing w:line="480" w:lineRule="auto"/>
        <w:rPr>
          <w:sz w:val="28"/>
          <w:szCs w:val="28"/>
        </w:rPr>
      </w:pPr>
      <w:r w:rsidRPr="00E04E48">
        <w:rPr>
          <w:sz w:val="28"/>
          <w:szCs w:val="28"/>
        </w:rPr>
        <w:t>“</w:t>
      </w:r>
      <w:r w:rsidRPr="00E04E48">
        <w:rPr>
          <w:sz w:val="28"/>
          <w:szCs w:val="28"/>
        </w:rPr>
        <w:t>Indeed, the rule</w:t>
      </w:r>
      <w:r w:rsidRPr="00E04E48">
        <w:rPr>
          <w:sz w:val="28"/>
          <w:szCs w:val="28"/>
        </w:rPr>
        <w:t xml:space="preserve"> [403]</w:t>
      </w:r>
      <w:r w:rsidRPr="00E04E48">
        <w:rPr>
          <w:sz w:val="28"/>
          <w:szCs w:val="28"/>
        </w:rPr>
        <w:t xml:space="preserve"> is designed </w:t>
      </w:r>
      <w:r>
        <w:rPr>
          <w:sz w:val="28"/>
          <w:szCs w:val="28"/>
        </w:rPr>
        <w:t>‘</w:t>
      </w:r>
      <w:r w:rsidRPr="00E04E48">
        <w:rPr>
          <w:sz w:val="28"/>
          <w:szCs w:val="28"/>
        </w:rPr>
        <w:t>to exclude matter of scant or cumulative probative force, dragged in by the heels for the sake of its prejudicial effect.</w:t>
      </w:r>
      <w:r>
        <w:rPr>
          <w:sz w:val="28"/>
          <w:szCs w:val="28"/>
        </w:rPr>
        <w:t>’</w:t>
      </w:r>
      <w:r w:rsidRPr="00E04E48">
        <w:rPr>
          <w:sz w:val="28"/>
          <w:szCs w:val="28"/>
        </w:rPr>
        <w:t>” </w:t>
      </w:r>
      <w:r>
        <w:rPr>
          <w:i/>
          <w:iCs/>
          <w:sz w:val="28"/>
          <w:szCs w:val="28"/>
        </w:rPr>
        <w:t>Spires v. State</w:t>
      </w:r>
      <w:r>
        <w:rPr>
          <w:sz w:val="28"/>
          <w:szCs w:val="28"/>
        </w:rPr>
        <w:t>, A20A1079, 2020 WL 6305007 (Ga. App. 10/28/2020).</w:t>
      </w:r>
    </w:p>
    <w:p w14:paraId="7BAAD729" w14:textId="4963DB91" w:rsidR="00C55C6A" w:rsidRDefault="00C55C6A" w:rsidP="004B6A54">
      <w:pPr>
        <w:pStyle w:val="ListParagraph"/>
        <w:numPr>
          <w:ilvl w:val="1"/>
          <w:numId w:val="3"/>
        </w:numPr>
        <w:spacing w:line="480" w:lineRule="auto"/>
        <w:rPr>
          <w:sz w:val="28"/>
          <w:szCs w:val="28"/>
        </w:rPr>
      </w:pPr>
      <w:r>
        <w:rPr>
          <w:sz w:val="28"/>
          <w:szCs w:val="28"/>
        </w:rPr>
        <w:t xml:space="preserve">Exclusion under 403 is a remedy that is extraordinary and should be used only sparingly.  </w:t>
      </w:r>
      <w:r>
        <w:rPr>
          <w:i/>
          <w:iCs/>
          <w:sz w:val="28"/>
          <w:szCs w:val="28"/>
        </w:rPr>
        <w:t>Kirby v. State</w:t>
      </w:r>
      <w:r>
        <w:rPr>
          <w:sz w:val="28"/>
          <w:szCs w:val="28"/>
        </w:rPr>
        <w:t xml:space="preserve">, 304 Ga. 472, 480 (2018), citing </w:t>
      </w:r>
      <w:r>
        <w:rPr>
          <w:i/>
          <w:iCs/>
          <w:sz w:val="28"/>
          <w:szCs w:val="28"/>
        </w:rPr>
        <w:t>Hood v. State</w:t>
      </w:r>
      <w:r>
        <w:rPr>
          <w:sz w:val="28"/>
          <w:szCs w:val="28"/>
        </w:rPr>
        <w:t>, 299 Ga. 95, 102-103 (2016).</w:t>
      </w:r>
    </w:p>
    <w:p w14:paraId="4CFC36AF" w14:textId="101B87E6" w:rsidR="00E04E48" w:rsidRPr="00E04E48" w:rsidRDefault="00E04E48" w:rsidP="00E04E48">
      <w:pPr>
        <w:spacing w:line="480" w:lineRule="auto"/>
        <w:rPr>
          <w:sz w:val="28"/>
          <w:szCs w:val="28"/>
        </w:rPr>
      </w:pPr>
      <w:r>
        <w:rPr>
          <w:sz w:val="28"/>
          <w:szCs w:val="28"/>
        </w:rPr>
        <w:pict w14:anchorId="5D7C998C">
          <v:rect id="_x0000_i1032" style="width:0;height:1.5pt" o:hralign="center" o:hrstd="t" o:hr="t" fillcolor="#a0a0a0" stroked="f"/>
        </w:pict>
      </w:r>
    </w:p>
    <w:p w14:paraId="340051A4" w14:textId="77777777" w:rsidR="00E806A0" w:rsidRPr="00E806A0" w:rsidRDefault="00DC1FBD" w:rsidP="00AC7A81">
      <w:pPr>
        <w:pStyle w:val="ListParagraph"/>
        <w:numPr>
          <w:ilvl w:val="0"/>
          <w:numId w:val="3"/>
        </w:numPr>
        <w:spacing w:line="480" w:lineRule="auto"/>
        <w:rPr>
          <w:b/>
          <w:bCs/>
          <w:sz w:val="28"/>
          <w:szCs w:val="28"/>
        </w:rPr>
      </w:pPr>
      <w:r>
        <w:rPr>
          <w:sz w:val="28"/>
          <w:szCs w:val="28"/>
        </w:rPr>
        <w:t>Issues such as</w:t>
      </w:r>
      <w:r w:rsidRPr="00264C6F">
        <w:rPr>
          <w:b/>
          <w:bCs/>
          <w:sz w:val="28"/>
          <w:szCs w:val="28"/>
        </w:rPr>
        <w:t xml:space="preserve"> </w:t>
      </w:r>
      <w:r w:rsidR="00E806A0" w:rsidRPr="00264C6F">
        <w:rPr>
          <w:b/>
          <w:bCs/>
          <w:sz w:val="28"/>
          <w:szCs w:val="28"/>
        </w:rPr>
        <w:t>similarity</w:t>
      </w:r>
      <w:r w:rsidR="00E806A0">
        <w:rPr>
          <w:sz w:val="28"/>
          <w:szCs w:val="28"/>
        </w:rPr>
        <w:t>,</w:t>
      </w:r>
      <w:r w:rsidR="00E806A0" w:rsidRPr="00264C6F">
        <w:rPr>
          <w:b/>
          <w:bCs/>
          <w:sz w:val="28"/>
          <w:szCs w:val="28"/>
        </w:rPr>
        <w:t xml:space="preserve"> need</w:t>
      </w:r>
      <w:r w:rsidR="00E806A0">
        <w:rPr>
          <w:sz w:val="28"/>
          <w:szCs w:val="28"/>
        </w:rPr>
        <w:t xml:space="preserve"> by the prosecutor and </w:t>
      </w:r>
      <w:r w:rsidR="00E806A0" w:rsidRPr="00264C6F">
        <w:rPr>
          <w:b/>
          <w:bCs/>
          <w:sz w:val="28"/>
          <w:szCs w:val="28"/>
        </w:rPr>
        <w:t>temporal remoteness</w:t>
      </w:r>
      <w:r w:rsidR="00E806A0">
        <w:rPr>
          <w:sz w:val="28"/>
          <w:szCs w:val="28"/>
        </w:rPr>
        <w:t xml:space="preserve"> impacts the second part of the test – the 403 analysis.</w:t>
      </w:r>
    </w:p>
    <w:p w14:paraId="20017F37" w14:textId="23F5181B" w:rsidR="00AC7A81" w:rsidRPr="00264C6F" w:rsidRDefault="00E806A0" w:rsidP="00E806A0">
      <w:pPr>
        <w:pStyle w:val="ListParagraph"/>
        <w:numPr>
          <w:ilvl w:val="1"/>
          <w:numId w:val="3"/>
        </w:numPr>
        <w:spacing w:line="480" w:lineRule="auto"/>
        <w:rPr>
          <w:b/>
          <w:bCs/>
          <w:sz w:val="28"/>
          <w:szCs w:val="28"/>
        </w:rPr>
      </w:pPr>
      <w:r>
        <w:rPr>
          <w:sz w:val="28"/>
          <w:szCs w:val="28"/>
        </w:rPr>
        <w:t xml:space="preserve">See </w:t>
      </w:r>
      <w:r>
        <w:rPr>
          <w:i/>
          <w:iCs/>
          <w:sz w:val="28"/>
          <w:szCs w:val="28"/>
        </w:rPr>
        <w:t>Strong v. State</w:t>
      </w:r>
      <w:r>
        <w:rPr>
          <w:sz w:val="28"/>
          <w:szCs w:val="28"/>
        </w:rPr>
        <w:t>, __ Ga. __, 845 S.E.2d 653, 667 (2020)</w:t>
      </w:r>
      <w:r>
        <w:rPr>
          <w:sz w:val="28"/>
          <w:szCs w:val="28"/>
        </w:rPr>
        <w:t xml:space="preserve"> (“ </w:t>
      </w:r>
      <w:r w:rsidRPr="00E806A0">
        <w:rPr>
          <w:sz w:val="28"/>
          <w:szCs w:val="28"/>
        </w:rPr>
        <w:t xml:space="preserve">Turning to the Rule 403 analysis required by the second part of the test, in determining the probative value of other-act evidence offered to show </w:t>
      </w:r>
      <w:r w:rsidRPr="00E806A0">
        <w:rPr>
          <w:sz w:val="28"/>
          <w:szCs w:val="28"/>
        </w:rPr>
        <w:lastRenderedPageBreak/>
        <w:t>intent, courts should consider the prosecutorial need for the other-act evidence, its similarity to the charged crimes, and its temporal remoteness</w:t>
      </w:r>
      <w:r>
        <w:rPr>
          <w:sz w:val="28"/>
          <w:szCs w:val="28"/>
        </w:rPr>
        <w:t>”)</w:t>
      </w:r>
      <w:r w:rsidRPr="00E806A0">
        <w:rPr>
          <w:sz w:val="28"/>
          <w:szCs w:val="28"/>
        </w:rPr>
        <w:t>.</w:t>
      </w:r>
      <w:r>
        <w:rPr>
          <w:sz w:val="28"/>
          <w:szCs w:val="28"/>
        </w:rPr>
        <w:t xml:space="preserve"> citing </w:t>
      </w:r>
      <w:r>
        <w:rPr>
          <w:i/>
          <w:iCs/>
          <w:sz w:val="28"/>
          <w:szCs w:val="28"/>
        </w:rPr>
        <w:t>Jackson v. State</w:t>
      </w:r>
      <w:r>
        <w:rPr>
          <w:sz w:val="28"/>
          <w:szCs w:val="28"/>
        </w:rPr>
        <w:t>, 306 Ga. 69, 77 (2019).</w:t>
      </w:r>
    </w:p>
    <w:p w14:paraId="0CAA7EA1" w14:textId="0B393596" w:rsidR="00264C6F" w:rsidRDefault="00264C6F" w:rsidP="00E806A0">
      <w:pPr>
        <w:pStyle w:val="ListParagraph"/>
        <w:numPr>
          <w:ilvl w:val="1"/>
          <w:numId w:val="3"/>
        </w:numPr>
        <w:spacing w:line="480" w:lineRule="auto"/>
        <w:rPr>
          <w:sz w:val="28"/>
          <w:szCs w:val="28"/>
        </w:rPr>
      </w:pPr>
      <w:r w:rsidRPr="00264C6F">
        <w:rPr>
          <w:sz w:val="28"/>
          <w:szCs w:val="28"/>
        </w:rPr>
        <w:t xml:space="preserve">As noted in </w:t>
      </w:r>
      <w:r w:rsidRPr="00264C6F">
        <w:rPr>
          <w:i/>
          <w:iCs/>
          <w:sz w:val="28"/>
          <w:szCs w:val="28"/>
        </w:rPr>
        <w:t>Vass v. State</w:t>
      </w:r>
      <w:r w:rsidRPr="00264C6F">
        <w:rPr>
          <w:sz w:val="28"/>
          <w:szCs w:val="28"/>
        </w:rPr>
        <w:t>, 347 Ga. App. 535, 540 (2018), “the more strongly an issue is contested, the greater the justification for admitting other acts evidence.”</w:t>
      </w:r>
    </w:p>
    <w:p w14:paraId="2CC9635B" w14:textId="4D099C5D" w:rsidR="00E04E48" w:rsidRPr="00E04E48" w:rsidRDefault="00E04E48" w:rsidP="00E04E48">
      <w:pPr>
        <w:spacing w:line="480" w:lineRule="auto"/>
        <w:rPr>
          <w:sz w:val="28"/>
          <w:szCs w:val="28"/>
        </w:rPr>
      </w:pPr>
      <w:r>
        <w:rPr>
          <w:sz w:val="28"/>
          <w:szCs w:val="28"/>
        </w:rPr>
        <w:pict w14:anchorId="26F2D607">
          <v:rect id="_x0000_i1033" style="width:0;height:1.5pt" o:hralign="center" o:hrstd="t" o:hr="t" fillcolor="#a0a0a0" stroked="f"/>
        </w:pict>
      </w:r>
    </w:p>
    <w:p w14:paraId="57851630" w14:textId="05B1D013" w:rsidR="00AC7A81" w:rsidRPr="007638AA" w:rsidRDefault="00351C09" w:rsidP="00AC7A81">
      <w:pPr>
        <w:pStyle w:val="ListParagraph"/>
        <w:numPr>
          <w:ilvl w:val="0"/>
          <w:numId w:val="3"/>
        </w:numPr>
        <w:spacing w:line="480" w:lineRule="auto"/>
        <w:rPr>
          <w:b/>
          <w:bCs/>
          <w:sz w:val="28"/>
          <w:szCs w:val="28"/>
        </w:rPr>
      </w:pPr>
      <w:r>
        <w:rPr>
          <w:sz w:val="28"/>
          <w:szCs w:val="28"/>
        </w:rPr>
        <w:t xml:space="preserve">Intent is placed in issue by pleading not guilty but…. </w:t>
      </w:r>
    </w:p>
    <w:p w14:paraId="1188224D" w14:textId="6DF9B80C" w:rsidR="007638AA" w:rsidRPr="00351C09" w:rsidRDefault="007638AA" w:rsidP="007638AA">
      <w:pPr>
        <w:pStyle w:val="ListParagraph"/>
        <w:numPr>
          <w:ilvl w:val="1"/>
          <w:numId w:val="3"/>
        </w:numPr>
        <w:spacing w:line="480" w:lineRule="auto"/>
        <w:rPr>
          <w:b/>
          <w:bCs/>
          <w:sz w:val="28"/>
          <w:szCs w:val="28"/>
        </w:rPr>
      </w:pPr>
      <w:r>
        <w:rPr>
          <w:sz w:val="28"/>
          <w:szCs w:val="28"/>
        </w:rPr>
        <w:t xml:space="preserve">This line of cases began with </w:t>
      </w:r>
      <w:proofErr w:type="spellStart"/>
      <w:r>
        <w:rPr>
          <w:i/>
          <w:iCs/>
          <w:sz w:val="28"/>
          <w:szCs w:val="28"/>
        </w:rPr>
        <w:t>Olds</w:t>
      </w:r>
      <w:proofErr w:type="spellEnd"/>
      <w:r>
        <w:rPr>
          <w:i/>
          <w:iCs/>
          <w:sz w:val="28"/>
          <w:szCs w:val="28"/>
        </w:rPr>
        <w:t xml:space="preserve"> v. State</w:t>
      </w:r>
      <w:r>
        <w:rPr>
          <w:sz w:val="28"/>
          <w:szCs w:val="28"/>
        </w:rPr>
        <w:t>, 299 Ga. 65, 72-75 (2016)</w:t>
      </w:r>
      <w:r w:rsidR="00C5291C">
        <w:rPr>
          <w:sz w:val="28"/>
          <w:szCs w:val="28"/>
        </w:rPr>
        <w:t xml:space="preserve"> and </w:t>
      </w:r>
      <w:r w:rsidR="00C5291C">
        <w:rPr>
          <w:i/>
          <w:iCs/>
          <w:sz w:val="28"/>
          <w:szCs w:val="28"/>
        </w:rPr>
        <w:t>Bradshaw v. State</w:t>
      </w:r>
      <w:r w:rsidR="00C5291C">
        <w:rPr>
          <w:sz w:val="28"/>
          <w:szCs w:val="28"/>
        </w:rPr>
        <w:t>, 296 Ga. 650, 656-657 (2015)</w:t>
      </w:r>
      <w:r>
        <w:rPr>
          <w:sz w:val="28"/>
          <w:szCs w:val="28"/>
        </w:rPr>
        <w:t xml:space="preserve">; </w:t>
      </w:r>
    </w:p>
    <w:p w14:paraId="2FF63E82" w14:textId="087167C0" w:rsidR="00351C09" w:rsidRPr="00351C09" w:rsidRDefault="00351C09" w:rsidP="00351C09">
      <w:pPr>
        <w:pStyle w:val="ListParagraph"/>
        <w:numPr>
          <w:ilvl w:val="1"/>
          <w:numId w:val="3"/>
        </w:numPr>
        <w:spacing w:line="480" w:lineRule="auto"/>
        <w:rPr>
          <w:b/>
          <w:bCs/>
          <w:sz w:val="28"/>
          <w:szCs w:val="28"/>
        </w:rPr>
      </w:pPr>
      <w:r>
        <w:rPr>
          <w:sz w:val="28"/>
          <w:szCs w:val="28"/>
        </w:rPr>
        <w:t>The</w:t>
      </w:r>
      <w:r w:rsidR="006B5ACE">
        <w:rPr>
          <w:sz w:val="28"/>
          <w:szCs w:val="28"/>
        </w:rPr>
        <w:t xml:space="preserve"> subsequent</w:t>
      </w:r>
      <w:r>
        <w:rPr>
          <w:sz w:val="28"/>
          <w:szCs w:val="28"/>
        </w:rPr>
        <w:t xml:space="preserve"> cases have really tempered the “intent is always an issue” statement of law initially set forth in </w:t>
      </w:r>
      <w:r>
        <w:rPr>
          <w:i/>
          <w:iCs/>
          <w:sz w:val="28"/>
          <w:szCs w:val="28"/>
        </w:rPr>
        <w:t>Bradshaw.</w:t>
      </w:r>
    </w:p>
    <w:p w14:paraId="345E6BA6" w14:textId="01A5E222" w:rsidR="006727EB" w:rsidRPr="006B5ACE" w:rsidRDefault="00351C09" w:rsidP="009A0744">
      <w:pPr>
        <w:pStyle w:val="ListParagraph"/>
        <w:numPr>
          <w:ilvl w:val="2"/>
          <w:numId w:val="3"/>
        </w:numPr>
        <w:spacing w:line="480" w:lineRule="auto"/>
        <w:rPr>
          <w:b/>
          <w:bCs/>
          <w:sz w:val="28"/>
          <w:szCs w:val="28"/>
        </w:rPr>
      </w:pPr>
      <w:r w:rsidRPr="00351C09">
        <w:rPr>
          <w:sz w:val="28"/>
          <w:szCs w:val="28"/>
        </w:rPr>
        <w:t>“</w:t>
      </w:r>
      <w:r w:rsidRPr="00351C09">
        <w:rPr>
          <w:sz w:val="28"/>
          <w:szCs w:val="28"/>
        </w:rPr>
        <w:t>To begin with, although Appellant put his intent at issue by pleading not guilty, see </w:t>
      </w:r>
      <w:r w:rsidRPr="007638AA">
        <w:rPr>
          <w:sz w:val="28"/>
          <w:szCs w:val="28"/>
        </w:rPr>
        <w:t>id.</w:t>
      </w:r>
      <w:r w:rsidRPr="00351C09">
        <w:rPr>
          <w:sz w:val="28"/>
          <w:szCs w:val="28"/>
        </w:rPr>
        <w:t xml:space="preserve">, the State's need for evidence to prove his intent was </w:t>
      </w:r>
      <w:r>
        <w:rPr>
          <w:sz w:val="28"/>
          <w:szCs w:val="28"/>
        </w:rPr>
        <w:t>‘</w:t>
      </w:r>
      <w:r w:rsidRPr="00351C09">
        <w:rPr>
          <w:sz w:val="28"/>
          <w:szCs w:val="28"/>
        </w:rPr>
        <w:t>extremely low</w:t>
      </w:r>
      <w:r>
        <w:rPr>
          <w:sz w:val="28"/>
          <w:szCs w:val="28"/>
        </w:rPr>
        <w:t>’</w:t>
      </w:r>
      <w:r w:rsidRPr="00351C09">
        <w:rPr>
          <w:sz w:val="28"/>
          <w:szCs w:val="28"/>
        </w:rPr>
        <w:t xml:space="preserve"> because his sole defense at trial was self-defense.</w:t>
      </w:r>
      <w:r>
        <w:rPr>
          <w:sz w:val="28"/>
          <w:szCs w:val="28"/>
        </w:rPr>
        <w:t xml:space="preserve">”  </w:t>
      </w:r>
      <w:r>
        <w:rPr>
          <w:i/>
          <w:iCs/>
          <w:sz w:val="28"/>
          <w:szCs w:val="28"/>
        </w:rPr>
        <w:t>Strong v. State</w:t>
      </w:r>
      <w:r>
        <w:rPr>
          <w:sz w:val="28"/>
          <w:szCs w:val="28"/>
        </w:rPr>
        <w:t>, __ Ga. __, 845 S.E.2d 653, 667 (2020)</w:t>
      </w:r>
      <w:r>
        <w:rPr>
          <w:sz w:val="28"/>
          <w:szCs w:val="28"/>
        </w:rPr>
        <w:t xml:space="preserve">, citing </w:t>
      </w:r>
      <w:r>
        <w:rPr>
          <w:i/>
          <w:iCs/>
          <w:sz w:val="28"/>
          <w:szCs w:val="28"/>
        </w:rPr>
        <w:t>Brooks v. State</w:t>
      </w:r>
      <w:r>
        <w:rPr>
          <w:sz w:val="28"/>
          <w:szCs w:val="28"/>
        </w:rPr>
        <w:t>, 298 Ga. 772, 725-726 (2016)</w:t>
      </w:r>
    </w:p>
    <w:p w14:paraId="53E0DA5D" w14:textId="4FFC94D3" w:rsidR="006B5ACE" w:rsidRPr="006B5ACE" w:rsidRDefault="006B5ACE" w:rsidP="006B5ACE">
      <w:pPr>
        <w:spacing w:line="480" w:lineRule="auto"/>
        <w:rPr>
          <w:b/>
          <w:bCs/>
          <w:sz w:val="28"/>
          <w:szCs w:val="28"/>
        </w:rPr>
      </w:pPr>
      <w:r>
        <w:rPr>
          <w:sz w:val="28"/>
          <w:szCs w:val="28"/>
        </w:rPr>
        <w:lastRenderedPageBreak/>
        <w:pict w14:anchorId="5202C997">
          <v:rect id="_x0000_i1035" style="width:0;height:1.5pt" o:hralign="center" o:hrstd="t" o:hr="t" fillcolor="#a0a0a0" stroked="f"/>
        </w:pict>
      </w:r>
    </w:p>
    <w:p w14:paraId="37B24711" w14:textId="13CE5B46" w:rsidR="006727EB" w:rsidRPr="006727EB" w:rsidRDefault="006727EB" w:rsidP="009A0744">
      <w:pPr>
        <w:pStyle w:val="ListParagraph"/>
        <w:numPr>
          <w:ilvl w:val="0"/>
          <w:numId w:val="3"/>
        </w:numPr>
        <w:spacing w:line="480" w:lineRule="auto"/>
        <w:rPr>
          <w:b/>
          <w:bCs/>
          <w:sz w:val="28"/>
          <w:szCs w:val="28"/>
        </w:rPr>
      </w:pPr>
      <w:r>
        <w:rPr>
          <w:sz w:val="28"/>
          <w:szCs w:val="28"/>
        </w:rPr>
        <w:t>“Intrinsic” vs. “extrinsic” acts</w:t>
      </w:r>
    </w:p>
    <w:p w14:paraId="6E903CFB" w14:textId="4E83079C" w:rsidR="006727EB" w:rsidRPr="006727EB" w:rsidRDefault="006727EB" w:rsidP="006727EB">
      <w:pPr>
        <w:pStyle w:val="ListParagraph"/>
        <w:numPr>
          <w:ilvl w:val="1"/>
          <w:numId w:val="3"/>
        </w:numPr>
        <w:spacing w:line="480" w:lineRule="auto"/>
        <w:rPr>
          <w:b/>
          <w:bCs/>
          <w:sz w:val="28"/>
          <w:szCs w:val="28"/>
        </w:rPr>
      </w:pPr>
      <w:r>
        <w:rPr>
          <w:sz w:val="28"/>
          <w:szCs w:val="28"/>
        </w:rPr>
        <w:t>404(b) really addresses issues that are extrinsic to the crime charged.  If the “other act” is intrinsic or part of telling the story of the crime on trial, it does not fall within 404(b).</w:t>
      </w:r>
    </w:p>
    <w:p w14:paraId="13C7C8A9" w14:textId="01AD0F83" w:rsidR="006727EB" w:rsidRDefault="006727EB" w:rsidP="00696A9E">
      <w:pPr>
        <w:pStyle w:val="ListParagraph"/>
        <w:keepNext/>
        <w:numPr>
          <w:ilvl w:val="2"/>
          <w:numId w:val="3"/>
        </w:numPr>
        <w:spacing w:line="480" w:lineRule="auto"/>
        <w:rPr>
          <w:sz w:val="28"/>
          <w:szCs w:val="28"/>
        </w:rPr>
      </w:pPr>
      <w:r w:rsidRPr="006727EB">
        <w:rPr>
          <w:b/>
          <w:bCs/>
          <w:sz w:val="28"/>
          <w:szCs w:val="28"/>
        </w:rPr>
        <w:t> </w:t>
      </w:r>
      <w:r>
        <w:rPr>
          <w:b/>
          <w:bCs/>
          <w:sz w:val="28"/>
          <w:szCs w:val="28"/>
        </w:rPr>
        <w:t>“</w:t>
      </w:r>
      <w:r w:rsidRPr="006727EB">
        <w:rPr>
          <w:sz w:val="28"/>
          <w:szCs w:val="28"/>
        </w:rPr>
        <w:t>Evidence is admissible as intrinsic evidence, rather than extrinsic evidence subject to Rule 404 (b), “when it is (1) an uncharged offense arising from the same transaction or series of transactions as the charged offense; (2) necessary to complete the story of the crime; or (3) inextricably intertwined with the evidence regarding the charged offense.” </w:t>
      </w:r>
      <w:r w:rsidRPr="006727EB">
        <w:rPr>
          <w:i/>
          <w:iCs/>
          <w:sz w:val="28"/>
          <w:szCs w:val="28"/>
        </w:rPr>
        <w:t>Williams v. State</w:t>
      </w:r>
      <w:r w:rsidRPr="006727EB">
        <w:rPr>
          <w:sz w:val="28"/>
          <w:szCs w:val="28"/>
        </w:rPr>
        <w:t>, 302 Ga. 474, 485, 807 S.E.2d 350 (2017) (citation and punctuation omitted); see also </w:t>
      </w:r>
      <w:r w:rsidRPr="006727EB">
        <w:rPr>
          <w:i/>
          <w:iCs/>
          <w:sz w:val="28"/>
          <w:szCs w:val="28"/>
        </w:rPr>
        <w:t>Brown v. State</w:t>
      </w:r>
      <w:r w:rsidRPr="006727EB">
        <w:rPr>
          <w:sz w:val="28"/>
          <w:szCs w:val="28"/>
        </w:rPr>
        <w:t>, 307 Ga. 24, 29, 834 S.E.2d 40 (2019). Even when evidence is intrinsic, however, it “must also satisfy Rule 403.” </w:t>
      </w:r>
      <w:r w:rsidRPr="006727EB">
        <w:rPr>
          <w:i/>
          <w:iCs/>
          <w:sz w:val="28"/>
          <w:szCs w:val="28"/>
        </w:rPr>
        <w:t>Williams</w:t>
      </w:r>
      <w:r w:rsidRPr="006727EB">
        <w:rPr>
          <w:sz w:val="28"/>
          <w:szCs w:val="28"/>
        </w:rPr>
        <w:t>, 302 Ga. at 485, 807 S.E.2d 350. “[I]t is within the trial court's sound discretion to determine whether to admit such evidence,” </w:t>
      </w:r>
      <w:r w:rsidRPr="006727EB">
        <w:rPr>
          <w:i/>
          <w:iCs/>
          <w:sz w:val="28"/>
          <w:szCs w:val="28"/>
        </w:rPr>
        <w:t>Fleming v. State</w:t>
      </w:r>
      <w:r w:rsidRPr="006727EB">
        <w:rPr>
          <w:sz w:val="28"/>
          <w:szCs w:val="28"/>
        </w:rPr>
        <w:t xml:space="preserve">, </w:t>
      </w:r>
      <w:r w:rsidRPr="006727EB">
        <w:rPr>
          <w:sz w:val="28"/>
          <w:szCs w:val="28"/>
        </w:rPr>
        <w:lastRenderedPageBreak/>
        <w:t>306 Ga. 240, 245, 830 S.E.2d 129 (2019)</w:t>
      </w:r>
      <w:r>
        <w:rPr>
          <w:sz w:val="28"/>
          <w:szCs w:val="28"/>
        </w:rPr>
        <w:t xml:space="preserve">” </w:t>
      </w:r>
      <w:r>
        <w:rPr>
          <w:i/>
          <w:iCs/>
          <w:sz w:val="28"/>
          <w:szCs w:val="28"/>
        </w:rPr>
        <w:t>Harris v. State</w:t>
      </w:r>
      <w:r>
        <w:rPr>
          <w:sz w:val="28"/>
          <w:szCs w:val="28"/>
        </w:rPr>
        <w:t xml:space="preserve">, </w:t>
      </w:r>
      <w:r w:rsidR="00696A9E">
        <w:rPr>
          <w:sz w:val="28"/>
          <w:szCs w:val="28"/>
        </w:rPr>
        <w:t>S20A0786, 2020 WL 6122138 (Ga. 10/19/2020).</w:t>
      </w:r>
    </w:p>
    <w:p w14:paraId="6738B854" w14:textId="1DF6B701" w:rsidR="00D34266" w:rsidRDefault="00D34266" w:rsidP="00696A9E">
      <w:pPr>
        <w:pStyle w:val="ListParagraph"/>
        <w:keepNext/>
        <w:numPr>
          <w:ilvl w:val="2"/>
          <w:numId w:val="3"/>
        </w:numPr>
        <w:spacing w:line="480" w:lineRule="auto"/>
        <w:rPr>
          <w:sz w:val="28"/>
          <w:szCs w:val="28"/>
        </w:rPr>
      </w:pPr>
      <w:r>
        <w:rPr>
          <w:sz w:val="28"/>
          <w:szCs w:val="28"/>
        </w:rPr>
        <w:t xml:space="preserve">See </w:t>
      </w:r>
      <w:r>
        <w:rPr>
          <w:i/>
          <w:iCs/>
          <w:sz w:val="28"/>
          <w:szCs w:val="28"/>
        </w:rPr>
        <w:t>Johnson v. State</w:t>
      </w:r>
      <w:r>
        <w:rPr>
          <w:sz w:val="28"/>
          <w:szCs w:val="28"/>
        </w:rPr>
        <w:t>, 348 Ga. App. 831, 833-834 (2019)</w:t>
      </w:r>
    </w:p>
    <w:p w14:paraId="780B1D88" w14:textId="0C8D9D83" w:rsidR="00696A9E" w:rsidRPr="00696A9E" w:rsidRDefault="00696A9E" w:rsidP="00696A9E">
      <w:pPr>
        <w:spacing w:line="480" w:lineRule="auto"/>
        <w:rPr>
          <w:sz w:val="28"/>
          <w:szCs w:val="28"/>
        </w:rPr>
      </w:pPr>
      <w:r>
        <w:rPr>
          <w:sz w:val="28"/>
          <w:szCs w:val="28"/>
        </w:rPr>
        <w:pict w14:anchorId="7823B2C1">
          <v:rect id="_x0000_i1034" style="width:0;height:1.5pt" o:hralign="center" o:hrstd="t" o:hr="t" fillcolor="#a0a0a0" stroked="f"/>
        </w:pict>
      </w:r>
    </w:p>
    <w:p w14:paraId="07AD607A" w14:textId="78BCB0A3" w:rsidR="006727EB" w:rsidRDefault="006B5ACE" w:rsidP="006B5ACE">
      <w:pPr>
        <w:pStyle w:val="ListParagraph"/>
        <w:numPr>
          <w:ilvl w:val="0"/>
          <w:numId w:val="3"/>
        </w:numPr>
        <w:spacing w:line="480" w:lineRule="auto"/>
        <w:rPr>
          <w:sz w:val="28"/>
          <w:szCs w:val="28"/>
        </w:rPr>
      </w:pPr>
      <w:r>
        <w:rPr>
          <w:sz w:val="28"/>
          <w:szCs w:val="28"/>
        </w:rPr>
        <w:t>The list of permitted uses of 404(b) evidence is in the statute and we should probably look at the list more closely for a few minutes:</w:t>
      </w:r>
    </w:p>
    <w:p w14:paraId="79D16415" w14:textId="4DE97BBE" w:rsidR="006B5ACE" w:rsidRDefault="006B5ACE" w:rsidP="006B5ACE">
      <w:pPr>
        <w:pStyle w:val="ListParagraph"/>
        <w:numPr>
          <w:ilvl w:val="1"/>
          <w:numId w:val="3"/>
        </w:numPr>
        <w:spacing w:line="480" w:lineRule="auto"/>
        <w:rPr>
          <w:sz w:val="28"/>
          <w:szCs w:val="28"/>
        </w:rPr>
      </w:pPr>
      <w:r>
        <w:rPr>
          <w:sz w:val="28"/>
          <w:szCs w:val="28"/>
        </w:rPr>
        <w:t>The list is non-exhaustive, but is a really good guide</w:t>
      </w:r>
    </w:p>
    <w:p w14:paraId="113D186B" w14:textId="265158CD" w:rsidR="006B5ACE" w:rsidRPr="00F9397D" w:rsidRDefault="006B5ACE" w:rsidP="006B5ACE">
      <w:pPr>
        <w:pStyle w:val="ListParagraph"/>
        <w:numPr>
          <w:ilvl w:val="0"/>
          <w:numId w:val="3"/>
        </w:numPr>
        <w:spacing w:line="480" w:lineRule="auto"/>
        <w:rPr>
          <w:sz w:val="28"/>
          <w:szCs w:val="28"/>
        </w:rPr>
      </w:pPr>
      <w:r>
        <w:rPr>
          <w:b/>
          <w:bCs/>
          <w:sz w:val="28"/>
          <w:szCs w:val="28"/>
        </w:rPr>
        <w:t>Motive:</w:t>
      </w:r>
    </w:p>
    <w:p w14:paraId="19C87975" w14:textId="1E5934EE" w:rsidR="00F9397D" w:rsidRPr="006B5ACE" w:rsidRDefault="00442E3B" w:rsidP="00F9397D">
      <w:pPr>
        <w:pStyle w:val="ListParagraph"/>
        <w:numPr>
          <w:ilvl w:val="1"/>
          <w:numId w:val="3"/>
        </w:numPr>
        <w:spacing w:line="480" w:lineRule="auto"/>
        <w:rPr>
          <w:sz w:val="28"/>
          <w:szCs w:val="28"/>
        </w:rPr>
      </w:pPr>
      <w:r>
        <w:rPr>
          <w:sz w:val="28"/>
          <w:szCs w:val="28"/>
        </w:rPr>
        <w:t>“</w:t>
      </w:r>
      <w:r w:rsidRPr="00442E3B">
        <w:rPr>
          <w:sz w:val="28"/>
          <w:szCs w:val="28"/>
        </w:rPr>
        <w:t>We also conclude that the evidence was admissible to show motive. Motive has been defined as “ ‘the reason that nudges the will and prods the mind to indulge the criminal intent.’ ” </w:t>
      </w:r>
      <w:r w:rsidRPr="00442E3B">
        <w:rPr>
          <w:i/>
          <w:iCs/>
          <w:sz w:val="28"/>
          <w:szCs w:val="28"/>
        </w:rPr>
        <w:t xml:space="preserve">United States v. </w:t>
      </w:r>
      <w:proofErr w:type="spellStart"/>
      <w:r w:rsidRPr="00442E3B">
        <w:rPr>
          <w:i/>
          <w:iCs/>
          <w:sz w:val="28"/>
          <w:szCs w:val="28"/>
        </w:rPr>
        <w:t>Beechum</w:t>
      </w:r>
      <w:proofErr w:type="spellEnd"/>
      <w:r w:rsidRPr="00442E3B">
        <w:rPr>
          <w:i/>
          <w:iCs/>
          <w:sz w:val="28"/>
          <w:szCs w:val="28"/>
        </w:rPr>
        <w:t>,</w:t>
      </w:r>
      <w:r w:rsidRPr="00442E3B">
        <w:rPr>
          <w:sz w:val="28"/>
          <w:szCs w:val="28"/>
        </w:rPr>
        <w:t> 582 F.2d 898, 912 n. 15 (5th Cir.1978) (citation omitted). In this case, the evidence of the Ohio murder was relevant to motive because it demonstrated appellant's willingness to use violence when he or someone close to him is cheated in a drug deal. See </w:t>
      </w:r>
      <w:r w:rsidRPr="00442E3B">
        <w:rPr>
          <w:i/>
          <w:iCs/>
          <w:sz w:val="28"/>
          <w:szCs w:val="28"/>
        </w:rPr>
        <w:t>United States v. Banks,</w:t>
      </w:r>
      <w:r w:rsidRPr="00442E3B">
        <w:rPr>
          <w:sz w:val="28"/>
          <w:szCs w:val="28"/>
        </w:rPr>
        <w:t xml:space="preserve"> 514 F.3d 959, 976 (9th Cir.2008)(holding that evidence of the defendant's prior stabbing of someone who insulted his gang status was admissible to prove motive under Rule 404(b) in </w:t>
      </w:r>
      <w:r w:rsidRPr="00442E3B">
        <w:rPr>
          <w:sz w:val="28"/>
          <w:szCs w:val="28"/>
        </w:rPr>
        <w:lastRenderedPageBreak/>
        <w:t>his trial for attempted murder of someone else who also insulted his gang status)</w:t>
      </w:r>
      <w:r>
        <w:rPr>
          <w:sz w:val="28"/>
          <w:szCs w:val="28"/>
        </w:rPr>
        <w:t xml:space="preserve">.” </w:t>
      </w:r>
      <w:r>
        <w:rPr>
          <w:i/>
          <w:iCs/>
          <w:sz w:val="28"/>
          <w:szCs w:val="28"/>
        </w:rPr>
        <w:t>Bradshaw v. State</w:t>
      </w:r>
      <w:r>
        <w:rPr>
          <w:sz w:val="28"/>
          <w:szCs w:val="28"/>
        </w:rPr>
        <w:t>, 296 Ga. 650, 657 (2015).</w:t>
      </w:r>
    </w:p>
    <w:p w14:paraId="66D5B3E3" w14:textId="4EBEE41B" w:rsidR="006B5ACE" w:rsidRPr="00F9397D" w:rsidRDefault="006B5ACE" w:rsidP="006B5ACE">
      <w:pPr>
        <w:pStyle w:val="ListParagraph"/>
        <w:numPr>
          <w:ilvl w:val="0"/>
          <w:numId w:val="3"/>
        </w:numPr>
        <w:spacing w:line="480" w:lineRule="auto"/>
        <w:rPr>
          <w:sz w:val="28"/>
          <w:szCs w:val="28"/>
        </w:rPr>
      </w:pPr>
      <w:r>
        <w:rPr>
          <w:b/>
          <w:bCs/>
          <w:sz w:val="28"/>
          <w:szCs w:val="28"/>
        </w:rPr>
        <w:t>Opportunity:</w:t>
      </w:r>
    </w:p>
    <w:p w14:paraId="0C41B48E" w14:textId="535CB324" w:rsidR="00F9397D" w:rsidRPr="006B5ACE" w:rsidRDefault="00F9397D" w:rsidP="00F9397D">
      <w:pPr>
        <w:pStyle w:val="ListParagraph"/>
        <w:numPr>
          <w:ilvl w:val="1"/>
          <w:numId w:val="3"/>
        </w:numPr>
        <w:spacing w:line="480" w:lineRule="auto"/>
        <w:rPr>
          <w:sz w:val="28"/>
          <w:szCs w:val="28"/>
        </w:rPr>
      </w:pPr>
      <w:r>
        <w:rPr>
          <w:sz w:val="28"/>
          <w:szCs w:val="28"/>
        </w:rPr>
        <w:t>“</w:t>
      </w:r>
      <w:r w:rsidRPr="00F9397D">
        <w:rPr>
          <w:sz w:val="28"/>
          <w:szCs w:val="28"/>
        </w:rPr>
        <w:t>Admission of evidence for the purpose of showing opportunity is “probably the most rarely used purpose of those listed in Rule </w:t>
      </w:r>
      <w:r w:rsidRPr="00F9397D">
        <w:rPr>
          <w:b/>
          <w:bCs/>
          <w:sz w:val="28"/>
          <w:szCs w:val="28"/>
        </w:rPr>
        <w:t>404</w:t>
      </w:r>
      <w:r w:rsidRPr="00F9397D">
        <w:rPr>
          <w:sz w:val="28"/>
          <w:szCs w:val="28"/>
        </w:rPr>
        <w:t> (b). It admits evidence that relates to the defendant's </w:t>
      </w:r>
      <w:r w:rsidRPr="00F9397D">
        <w:rPr>
          <w:i/>
          <w:iCs/>
          <w:sz w:val="28"/>
          <w:szCs w:val="28"/>
        </w:rPr>
        <w:t>specific</w:t>
      </w:r>
      <w:r w:rsidRPr="00F9397D">
        <w:rPr>
          <w:sz w:val="28"/>
          <w:szCs w:val="28"/>
        </w:rPr>
        <w:t> ability or wherewithal to commit the crime charged.” (Citation and punctuation omitted; emphasis in original.) </w:t>
      </w:r>
      <w:proofErr w:type="spellStart"/>
      <w:r w:rsidRPr="00F9397D">
        <w:rPr>
          <w:i/>
          <w:iCs/>
          <w:sz w:val="28"/>
          <w:szCs w:val="28"/>
        </w:rPr>
        <w:t>Amey</w:t>
      </w:r>
      <w:proofErr w:type="spellEnd"/>
      <w:r w:rsidRPr="00F9397D">
        <w:rPr>
          <w:sz w:val="28"/>
          <w:szCs w:val="28"/>
        </w:rPr>
        <w:t>, 331 Ga. App. at 252 (1) (c), 770 S.E.2d 321. While there are few cases specifically addressing the circumstances under which opportunity may be a proper purpose for admitting other act evidence, a sister court has recognized “it as evidence tending to establish opportunity, in the sense of access to or presence at the scene of the crime or in the sense of possessing distinctive or unusual skills or abilities employed in the commission of the crime charged.”</w:t>
      </w:r>
      <w:r>
        <w:rPr>
          <w:sz w:val="28"/>
          <w:szCs w:val="28"/>
        </w:rPr>
        <w:t xml:space="preserve">  </w:t>
      </w:r>
      <w:r>
        <w:rPr>
          <w:i/>
          <w:iCs/>
          <w:sz w:val="28"/>
          <w:szCs w:val="28"/>
        </w:rPr>
        <w:t>Sloan v. State</w:t>
      </w:r>
      <w:r>
        <w:rPr>
          <w:sz w:val="28"/>
          <w:szCs w:val="28"/>
        </w:rPr>
        <w:t>, 351 Ga. App. 199, 207 (2019).</w:t>
      </w:r>
    </w:p>
    <w:p w14:paraId="7B8373BD" w14:textId="77777777" w:rsidR="005D02EA" w:rsidRPr="005D02EA" w:rsidRDefault="006B5ACE" w:rsidP="005D02EA">
      <w:pPr>
        <w:pStyle w:val="ListParagraph"/>
        <w:numPr>
          <w:ilvl w:val="0"/>
          <w:numId w:val="3"/>
        </w:numPr>
        <w:spacing w:line="480" w:lineRule="auto"/>
        <w:rPr>
          <w:sz w:val="28"/>
          <w:szCs w:val="28"/>
        </w:rPr>
      </w:pPr>
      <w:r>
        <w:rPr>
          <w:b/>
          <w:bCs/>
          <w:sz w:val="28"/>
          <w:szCs w:val="28"/>
        </w:rPr>
        <w:t>Intent:</w:t>
      </w:r>
    </w:p>
    <w:p w14:paraId="1F233A5C" w14:textId="066977EC" w:rsidR="003B0A35" w:rsidRPr="005A0E4E" w:rsidRDefault="003B0A35" w:rsidP="005A0E4E">
      <w:pPr>
        <w:pStyle w:val="ListParagraph"/>
        <w:numPr>
          <w:ilvl w:val="1"/>
          <w:numId w:val="3"/>
        </w:numPr>
        <w:spacing w:line="480" w:lineRule="auto"/>
        <w:rPr>
          <w:sz w:val="28"/>
          <w:szCs w:val="28"/>
        </w:rPr>
      </w:pPr>
      <w:proofErr w:type="spellStart"/>
      <w:r w:rsidRPr="005A0E4E">
        <w:rPr>
          <w:rStyle w:val="Emphasis"/>
          <w:sz w:val="28"/>
          <w:szCs w:val="28"/>
          <w:bdr w:val="none" w:sz="0" w:space="0" w:color="auto" w:frame="1"/>
        </w:rPr>
        <w:t>Olds</w:t>
      </w:r>
      <w:proofErr w:type="spellEnd"/>
      <w:r w:rsidRPr="005A0E4E">
        <w:rPr>
          <w:rStyle w:val="Emphasis"/>
          <w:sz w:val="28"/>
          <w:szCs w:val="28"/>
          <w:bdr w:val="none" w:sz="0" w:space="0" w:color="auto" w:frame="1"/>
        </w:rPr>
        <w:t xml:space="preserve"> v. State</w:t>
      </w:r>
      <w:r w:rsidRPr="005A0E4E">
        <w:rPr>
          <w:sz w:val="28"/>
          <w:szCs w:val="28"/>
          <w:bdr w:val="none" w:sz="0" w:space="0" w:color="auto" w:frame="1"/>
        </w:rPr>
        <w:t>, 299 Ga. 65, 72 (2), 786 S.E.2d 633 (2016)</w:t>
      </w:r>
      <w:r w:rsidRPr="005A0E4E">
        <w:rPr>
          <w:sz w:val="28"/>
          <w:szCs w:val="28"/>
        </w:rPr>
        <w:t> (“[E]</w:t>
      </w:r>
      <w:proofErr w:type="spellStart"/>
      <w:r w:rsidRPr="005A0E4E">
        <w:rPr>
          <w:sz w:val="28"/>
          <w:szCs w:val="28"/>
        </w:rPr>
        <w:t>vidence</w:t>
      </w:r>
      <w:proofErr w:type="spellEnd"/>
      <w:r w:rsidRPr="005A0E4E">
        <w:rPr>
          <w:sz w:val="28"/>
          <w:szCs w:val="28"/>
        </w:rPr>
        <w:t xml:space="preserve"> that an accused committed an intentional act generally is relevant to </w:t>
      </w:r>
      <w:r w:rsidRPr="005A0E4E">
        <w:rPr>
          <w:sz w:val="28"/>
          <w:szCs w:val="28"/>
        </w:rPr>
        <w:lastRenderedPageBreak/>
        <w:t>show ... that the same defendant committed a similar act with the same sort of intent[.]”).</w:t>
      </w:r>
      <w:r w:rsidR="005D02EA" w:rsidRPr="005A0E4E">
        <w:rPr>
          <w:sz w:val="28"/>
          <w:szCs w:val="28"/>
        </w:rPr>
        <w:t xml:space="preserve">  </w:t>
      </w:r>
      <w:r w:rsidRPr="005A0E4E">
        <w:rPr>
          <w:sz w:val="28"/>
          <w:szCs w:val="28"/>
        </w:rPr>
        <w:t xml:space="preserve">Here, Frazier claims that the other acts evidence is irrelevant to intent because he was coerced by the masked carjackers to participate in the crimes. However, that </w:t>
      </w:r>
      <w:r w:rsidRPr="005A0E4E">
        <w:rPr>
          <w:sz w:val="28"/>
          <w:szCs w:val="28"/>
          <w:u w:val="single"/>
        </w:rPr>
        <w:t>defense squarely put at issue whether Frazier intended to participate in the shooting or whether he was coerced into doing so</w:t>
      </w:r>
      <w:r w:rsidRPr="005A0E4E">
        <w:rPr>
          <w:sz w:val="28"/>
          <w:szCs w:val="28"/>
        </w:rPr>
        <w:t>, and the State was required to prove malicious intent for the malice murder charge.</w:t>
      </w:r>
      <w:r w:rsidR="005D02EA" w:rsidRPr="005A0E4E">
        <w:rPr>
          <w:sz w:val="28"/>
          <w:szCs w:val="28"/>
        </w:rPr>
        <w:t xml:space="preserve"> </w:t>
      </w:r>
      <w:r w:rsidR="005D02EA" w:rsidRPr="005A0E4E">
        <w:rPr>
          <w:i/>
          <w:iCs/>
          <w:sz w:val="28"/>
          <w:szCs w:val="28"/>
        </w:rPr>
        <w:t>Frazier v. State</w:t>
      </w:r>
      <w:r w:rsidR="005D02EA" w:rsidRPr="005A0E4E">
        <w:rPr>
          <w:sz w:val="28"/>
          <w:szCs w:val="28"/>
        </w:rPr>
        <w:t xml:space="preserve">, __ Ga. __. 845 S.E.2d 579, 587 (2020), citing </w:t>
      </w:r>
      <w:r w:rsidR="005D02EA" w:rsidRPr="005A0E4E">
        <w:rPr>
          <w:i/>
          <w:iCs/>
          <w:sz w:val="28"/>
          <w:szCs w:val="28"/>
        </w:rPr>
        <w:t>Gunn v. State</w:t>
      </w:r>
      <w:r w:rsidR="005D02EA" w:rsidRPr="005A0E4E">
        <w:rPr>
          <w:sz w:val="28"/>
          <w:szCs w:val="28"/>
        </w:rPr>
        <w:t xml:space="preserve">, </w:t>
      </w:r>
      <w:r w:rsidR="00943B49" w:rsidRPr="005A0E4E">
        <w:rPr>
          <w:sz w:val="28"/>
          <w:szCs w:val="28"/>
        </w:rPr>
        <w:t>342 Ga. App. 615, 621 (2017).</w:t>
      </w:r>
    </w:p>
    <w:p w14:paraId="106F84DC" w14:textId="23584861" w:rsidR="006B5ACE" w:rsidRPr="00F216DC" w:rsidRDefault="006B5ACE" w:rsidP="006B5ACE">
      <w:pPr>
        <w:pStyle w:val="ListParagraph"/>
        <w:numPr>
          <w:ilvl w:val="0"/>
          <w:numId w:val="3"/>
        </w:numPr>
        <w:spacing w:line="480" w:lineRule="auto"/>
        <w:rPr>
          <w:sz w:val="28"/>
          <w:szCs w:val="28"/>
        </w:rPr>
      </w:pPr>
      <w:r>
        <w:rPr>
          <w:b/>
          <w:bCs/>
          <w:sz w:val="28"/>
          <w:szCs w:val="28"/>
        </w:rPr>
        <w:t>Preparation:</w:t>
      </w:r>
    </w:p>
    <w:p w14:paraId="0CDD88AF" w14:textId="5FBC1D5A" w:rsidR="00F216DC" w:rsidRPr="00F9397D" w:rsidRDefault="00F216DC" w:rsidP="00F216DC">
      <w:pPr>
        <w:pStyle w:val="ListParagraph"/>
        <w:numPr>
          <w:ilvl w:val="1"/>
          <w:numId w:val="3"/>
        </w:numPr>
        <w:spacing w:line="480" w:lineRule="auto"/>
        <w:rPr>
          <w:sz w:val="28"/>
          <w:szCs w:val="28"/>
        </w:rPr>
      </w:pPr>
      <w:r w:rsidRPr="00F9397D">
        <w:rPr>
          <w:sz w:val="28"/>
          <w:szCs w:val="28"/>
        </w:rPr>
        <w:t>“</w:t>
      </w:r>
      <w:r w:rsidRPr="00F9397D">
        <w:rPr>
          <w:sz w:val="28"/>
          <w:szCs w:val="28"/>
        </w:rPr>
        <w:t>Although there is a dearth of Georgia decisions specifically addressing the admission of other acts evidence for the purpose of showing preparation, federal decisions addressing this component of Federal Rule of Evidence 404 (b)provide guidance. See </w:t>
      </w:r>
      <w:proofErr w:type="spellStart"/>
      <w:r w:rsidRPr="00F9397D">
        <w:rPr>
          <w:i/>
          <w:iCs/>
          <w:sz w:val="28"/>
          <w:szCs w:val="28"/>
        </w:rPr>
        <w:t>Amey</w:t>
      </w:r>
      <w:proofErr w:type="spellEnd"/>
      <w:r w:rsidRPr="00F9397D">
        <w:rPr>
          <w:sz w:val="28"/>
          <w:szCs w:val="28"/>
        </w:rPr>
        <w:t xml:space="preserve">, 331 Ga. App. at 247-248 (1), 770 S.E.2d 321. These decisions show that </w:t>
      </w:r>
      <w:r w:rsidR="00F9397D">
        <w:rPr>
          <w:sz w:val="28"/>
          <w:szCs w:val="28"/>
        </w:rPr>
        <w:t>‘</w:t>
      </w:r>
      <w:r w:rsidRPr="00F9397D">
        <w:rPr>
          <w:sz w:val="28"/>
          <w:szCs w:val="28"/>
        </w:rPr>
        <w:t>acts in preparation leading up to the charged offense ... may be admitted under Rule 404 (b).</w:t>
      </w:r>
      <w:r w:rsidR="00F9397D">
        <w:rPr>
          <w:sz w:val="28"/>
          <w:szCs w:val="28"/>
        </w:rPr>
        <w:t>’</w:t>
      </w:r>
      <w:r w:rsidRPr="00F9397D">
        <w:rPr>
          <w:sz w:val="28"/>
          <w:szCs w:val="28"/>
        </w:rPr>
        <w:t xml:space="preserve"> Paul S. Milich, Georgia Rules of Evidence, § 11:16 at 338 (2018-2019 ed.). Examples of other acts evidence admitted to show preparation include the theft of weapons </w:t>
      </w:r>
      <w:r w:rsidRPr="00F9397D">
        <w:rPr>
          <w:sz w:val="28"/>
          <w:szCs w:val="28"/>
        </w:rPr>
        <w:lastRenderedPageBreak/>
        <w:t>used in subsequent robberies</w:t>
      </w:r>
      <w:r w:rsidR="00F9397D">
        <w:rPr>
          <w:sz w:val="28"/>
          <w:szCs w:val="28"/>
        </w:rPr>
        <w:t xml:space="preserve"> </w:t>
      </w:r>
      <w:r w:rsidRPr="00F9397D">
        <w:rPr>
          <w:sz w:val="28"/>
          <w:szCs w:val="28"/>
        </w:rPr>
        <w:t>and a visit to a nearby bank the day before the charged robbery of the only other bank in a small city.</w:t>
      </w:r>
      <w:r w:rsidR="00F9397D">
        <w:rPr>
          <w:sz w:val="28"/>
          <w:szCs w:val="28"/>
        </w:rPr>
        <w:t xml:space="preserve">” </w:t>
      </w:r>
      <w:r w:rsidR="00F9397D">
        <w:rPr>
          <w:i/>
          <w:iCs/>
          <w:sz w:val="28"/>
          <w:szCs w:val="28"/>
        </w:rPr>
        <w:t>Sloan v. State</w:t>
      </w:r>
      <w:r w:rsidR="00F9397D">
        <w:rPr>
          <w:sz w:val="28"/>
          <w:szCs w:val="28"/>
        </w:rPr>
        <w:t>, 351 Ga. App. 199, 207-208 (2019).</w:t>
      </w:r>
    </w:p>
    <w:p w14:paraId="717AC07E" w14:textId="6EBCAF09" w:rsidR="006B5ACE" w:rsidRPr="00F216DC" w:rsidRDefault="006B5ACE" w:rsidP="006B5ACE">
      <w:pPr>
        <w:pStyle w:val="ListParagraph"/>
        <w:numPr>
          <w:ilvl w:val="0"/>
          <w:numId w:val="3"/>
        </w:numPr>
        <w:spacing w:line="480" w:lineRule="auto"/>
        <w:rPr>
          <w:sz w:val="28"/>
          <w:szCs w:val="28"/>
        </w:rPr>
      </w:pPr>
      <w:r>
        <w:rPr>
          <w:b/>
          <w:bCs/>
          <w:sz w:val="28"/>
          <w:szCs w:val="28"/>
        </w:rPr>
        <w:t>Plan:</w:t>
      </w:r>
    </w:p>
    <w:p w14:paraId="5793CE20" w14:textId="078563F4" w:rsidR="00F216DC" w:rsidRPr="006B5ACE" w:rsidRDefault="00F216DC" w:rsidP="00F216DC">
      <w:pPr>
        <w:pStyle w:val="ListParagraph"/>
        <w:numPr>
          <w:ilvl w:val="1"/>
          <w:numId w:val="3"/>
        </w:numPr>
        <w:spacing w:line="480" w:lineRule="auto"/>
        <w:rPr>
          <w:sz w:val="28"/>
          <w:szCs w:val="28"/>
        </w:rPr>
      </w:pPr>
      <w:r>
        <w:rPr>
          <w:sz w:val="28"/>
          <w:szCs w:val="28"/>
        </w:rPr>
        <w:t xml:space="preserve">The evidence must show a plan to commit the specific crime charged – not a design or plan to commit crimes of the sort with which he is charged. </w:t>
      </w:r>
      <w:r>
        <w:rPr>
          <w:i/>
          <w:iCs/>
          <w:sz w:val="28"/>
          <w:szCs w:val="28"/>
        </w:rPr>
        <w:t>Heard v. State</w:t>
      </w:r>
      <w:r>
        <w:rPr>
          <w:sz w:val="28"/>
          <w:szCs w:val="28"/>
        </w:rPr>
        <w:t>, 309 Ga. 76 (2020).</w:t>
      </w:r>
    </w:p>
    <w:p w14:paraId="0335FC24" w14:textId="2A2EFD5C" w:rsidR="006B5ACE" w:rsidRPr="00E12F81" w:rsidRDefault="006B5ACE" w:rsidP="006B5ACE">
      <w:pPr>
        <w:pStyle w:val="ListParagraph"/>
        <w:numPr>
          <w:ilvl w:val="0"/>
          <w:numId w:val="3"/>
        </w:numPr>
        <w:spacing w:line="480" w:lineRule="auto"/>
        <w:rPr>
          <w:sz w:val="28"/>
          <w:szCs w:val="28"/>
        </w:rPr>
      </w:pPr>
      <w:r>
        <w:rPr>
          <w:b/>
          <w:bCs/>
          <w:sz w:val="28"/>
          <w:szCs w:val="28"/>
        </w:rPr>
        <w:t>Knowledge:</w:t>
      </w:r>
    </w:p>
    <w:p w14:paraId="67BA7ACD" w14:textId="6F3A15BC" w:rsidR="00E12F81" w:rsidRDefault="003B0A35" w:rsidP="00E12F81">
      <w:pPr>
        <w:pStyle w:val="ListParagraph"/>
        <w:numPr>
          <w:ilvl w:val="1"/>
          <w:numId w:val="3"/>
        </w:numPr>
        <w:spacing w:line="480" w:lineRule="auto"/>
        <w:rPr>
          <w:sz w:val="28"/>
          <w:szCs w:val="28"/>
        </w:rPr>
      </w:pPr>
      <w:r>
        <w:rPr>
          <w:sz w:val="28"/>
          <w:szCs w:val="28"/>
        </w:rPr>
        <w:t>“[A]</w:t>
      </w:r>
      <w:r w:rsidR="00E12F81" w:rsidRPr="00E12F81">
        <w:rPr>
          <w:sz w:val="28"/>
          <w:szCs w:val="28"/>
        </w:rPr>
        <w:t xml:space="preserve"> defendant's knowledge may be at issue where it is an element of the charged crime; that is, when knowledge itself is part of the statutory definition of the crime, and thus must be proven by the prosecution. Knowledge is also properly in issue when the defendant claims that he or she was unaware that a criminal act was being perpetrated. In such cases, the hypothesis justifying the admission of other-acts evidence is similar to that invoked with intent: the likelihood that repeated instances of behavior, even if originally innocent, will have resulted in defendant's having the requisite state of knowledge by the time of the charged crime.</w:t>
      </w:r>
      <w:r>
        <w:rPr>
          <w:sz w:val="28"/>
          <w:szCs w:val="28"/>
        </w:rPr>
        <w:t>”</w:t>
      </w:r>
    </w:p>
    <w:p w14:paraId="2260C4F6" w14:textId="356FB6B5" w:rsidR="003B0A35" w:rsidRPr="006B5ACE" w:rsidRDefault="003B0A35" w:rsidP="003B0A35">
      <w:pPr>
        <w:pStyle w:val="ListParagraph"/>
        <w:numPr>
          <w:ilvl w:val="2"/>
          <w:numId w:val="3"/>
        </w:numPr>
        <w:spacing w:line="480" w:lineRule="auto"/>
        <w:rPr>
          <w:sz w:val="28"/>
          <w:szCs w:val="28"/>
        </w:rPr>
      </w:pPr>
      <w:r>
        <w:rPr>
          <w:i/>
          <w:iCs/>
          <w:sz w:val="28"/>
          <w:szCs w:val="28"/>
        </w:rPr>
        <w:lastRenderedPageBreak/>
        <w:t>Clarke v. State</w:t>
      </w:r>
      <w:r>
        <w:rPr>
          <w:sz w:val="28"/>
          <w:szCs w:val="28"/>
        </w:rPr>
        <w:t xml:space="preserve">, __ Ga. App. __. 848 S.E.2d 192, 201 (2020), citing </w:t>
      </w:r>
      <w:r>
        <w:rPr>
          <w:i/>
          <w:iCs/>
          <w:sz w:val="28"/>
          <w:szCs w:val="28"/>
        </w:rPr>
        <w:t>Green v. State</w:t>
      </w:r>
      <w:r>
        <w:rPr>
          <w:sz w:val="28"/>
          <w:szCs w:val="28"/>
        </w:rPr>
        <w:t>, 352 Ga. App. 284, 289 (2019).</w:t>
      </w:r>
    </w:p>
    <w:p w14:paraId="35BC3473" w14:textId="7F9FBDB1" w:rsidR="006B5ACE" w:rsidRPr="00943B49" w:rsidRDefault="006B5ACE" w:rsidP="006B5ACE">
      <w:pPr>
        <w:pStyle w:val="ListParagraph"/>
        <w:numPr>
          <w:ilvl w:val="0"/>
          <w:numId w:val="3"/>
        </w:numPr>
        <w:spacing w:line="480" w:lineRule="auto"/>
        <w:rPr>
          <w:sz w:val="28"/>
          <w:szCs w:val="28"/>
        </w:rPr>
      </w:pPr>
      <w:r>
        <w:rPr>
          <w:b/>
          <w:bCs/>
          <w:sz w:val="28"/>
          <w:szCs w:val="28"/>
        </w:rPr>
        <w:t>Identity:</w:t>
      </w:r>
    </w:p>
    <w:p w14:paraId="2E3D338D" w14:textId="24A87C7E" w:rsidR="00943B49" w:rsidRPr="004E3958" w:rsidRDefault="00943B49" w:rsidP="00943B49">
      <w:pPr>
        <w:pStyle w:val="ListParagraph"/>
        <w:numPr>
          <w:ilvl w:val="1"/>
          <w:numId w:val="3"/>
        </w:numPr>
        <w:spacing w:line="480" w:lineRule="auto"/>
        <w:rPr>
          <w:sz w:val="28"/>
          <w:szCs w:val="28"/>
        </w:rPr>
      </w:pPr>
      <w:r w:rsidRPr="004E3958">
        <w:rPr>
          <w:sz w:val="28"/>
          <w:szCs w:val="28"/>
        </w:rPr>
        <w:t>“</w:t>
      </w:r>
      <w:r w:rsidRPr="004E3958">
        <w:rPr>
          <w:sz w:val="28"/>
          <w:szCs w:val="28"/>
        </w:rPr>
        <w:t>[E]</w:t>
      </w:r>
      <w:proofErr w:type="spellStart"/>
      <w:r w:rsidRPr="004E3958">
        <w:rPr>
          <w:sz w:val="28"/>
          <w:szCs w:val="28"/>
        </w:rPr>
        <w:t>vidence</w:t>
      </w:r>
      <w:proofErr w:type="spellEnd"/>
      <w:r w:rsidRPr="004E3958">
        <w:rPr>
          <w:sz w:val="28"/>
          <w:szCs w:val="28"/>
        </w:rPr>
        <w:t xml:space="preserve"> offered to prove identity must satisfy a particularly stringent analysis. When extrinsic offense evidence is introduced to prove identity, the likeness of the offenses is the crucial consideration. The physical similarity must be such that it marks the offenses as the handiwork of the accused. In other words, </w:t>
      </w:r>
      <w:r w:rsidRPr="004E3958">
        <w:rPr>
          <w:sz w:val="28"/>
          <w:szCs w:val="28"/>
          <w:u w:val="single"/>
        </w:rPr>
        <w:t>the evidence must demonstrate a modus operandi</w:t>
      </w:r>
      <w:r w:rsidRPr="004E3958">
        <w:rPr>
          <w:sz w:val="28"/>
          <w:szCs w:val="28"/>
        </w:rPr>
        <w:t xml:space="preserve">. The extrinsic act must be a </w:t>
      </w:r>
      <w:r w:rsidRPr="004E3958">
        <w:rPr>
          <w:sz w:val="28"/>
          <w:szCs w:val="28"/>
          <w:u w:val="single"/>
        </w:rPr>
        <w:t>“signature” crime</w:t>
      </w:r>
      <w:r w:rsidRPr="004E3958">
        <w:rPr>
          <w:sz w:val="28"/>
          <w:szCs w:val="28"/>
        </w:rPr>
        <w:t>, and the defendant must have used a modus operandi that is uniquely his. The signature trait requirement is imposed to [e]</w:t>
      </w:r>
      <w:proofErr w:type="spellStart"/>
      <w:r w:rsidRPr="004E3958">
        <w:rPr>
          <w:sz w:val="28"/>
          <w:szCs w:val="28"/>
        </w:rPr>
        <w:t>nsure</w:t>
      </w:r>
      <w:proofErr w:type="spellEnd"/>
      <w:r w:rsidRPr="004E3958">
        <w:rPr>
          <w:sz w:val="28"/>
          <w:szCs w:val="28"/>
        </w:rPr>
        <w:t> that the government is not relying on an inference based on mere character—that a defendant has a propensity for criminal behavior. Evidence cannot be used to prove identity simply because the defendant has at other times committed the same commonplace variety of criminal act.</w:t>
      </w:r>
      <w:r w:rsidR="004E3958" w:rsidRPr="004E3958">
        <w:rPr>
          <w:sz w:val="28"/>
          <w:szCs w:val="28"/>
        </w:rPr>
        <w:t>”</w:t>
      </w:r>
      <w:r w:rsidR="004E3958">
        <w:rPr>
          <w:sz w:val="28"/>
          <w:szCs w:val="28"/>
        </w:rPr>
        <w:t xml:space="preserve">  </w:t>
      </w:r>
      <w:r w:rsidR="004E3958">
        <w:rPr>
          <w:i/>
          <w:iCs/>
          <w:sz w:val="28"/>
          <w:szCs w:val="28"/>
        </w:rPr>
        <w:t>Brooks v. State</w:t>
      </w:r>
      <w:r w:rsidR="004E3958">
        <w:rPr>
          <w:sz w:val="28"/>
          <w:szCs w:val="28"/>
        </w:rPr>
        <w:t xml:space="preserve">, 298 Ga. 722, 725 (2016); </w:t>
      </w:r>
      <w:r w:rsidR="004E3958">
        <w:rPr>
          <w:i/>
          <w:iCs/>
          <w:sz w:val="28"/>
          <w:szCs w:val="28"/>
        </w:rPr>
        <w:t>Heard v. State</w:t>
      </w:r>
      <w:r w:rsidR="004E3958">
        <w:rPr>
          <w:sz w:val="28"/>
          <w:szCs w:val="28"/>
        </w:rPr>
        <w:t>, 309 Ga. 76</w:t>
      </w:r>
      <w:r w:rsidR="00F216DC">
        <w:rPr>
          <w:sz w:val="28"/>
          <w:szCs w:val="28"/>
        </w:rPr>
        <w:t xml:space="preserve"> (2020).</w:t>
      </w:r>
    </w:p>
    <w:p w14:paraId="30AE5B3B" w14:textId="5F50575D" w:rsidR="006B5ACE" w:rsidRPr="00442E3B" w:rsidRDefault="006B5ACE" w:rsidP="006B5ACE">
      <w:pPr>
        <w:pStyle w:val="ListParagraph"/>
        <w:numPr>
          <w:ilvl w:val="0"/>
          <w:numId w:val="3"/>
        </w:numPr>
        <w:spacing w:line="480" w:lineRule="auto"/>
        <w:rPr>
          <w:sz w:val="28"/>
          <w:szCs w:val="28"/>
        </w:rPr>
      </w:pPr>
      <w:r>
        <w:rPr>
          <w:b/>
          <w:bCs/>
          <w:sz w:val="28"/>
          <w:szCs w:val="28"/>
        </w:rPr>
        <w:t>Absence of mistake or accident:</w:t>
      </w:r>
    </w:p>
    <w:p w14:paraId="283480E0" w14:textId="07818C50" w:rsidR="00442E3B" w:rsidRPr="00B211CF" w:rsidRDefault="00442E3B" w:rsidP="00442E3B">
      <w:pPr>
        <w:pStyle w:val="ListParagraph"/>
        <w:numPr>
          <w:ilvl w:val="1"/>
          <w:numId w:val="3"/>
        </w:numPr>
        <w:spacing w:line="480" w:lineRule="auto"/>
        <w:rPr>
          <w:sz w:val="28"/>
          <w:szCs w:val="28"/>
        </w:rPr>
      </w:pPr>
      <w:r>
        <w:rPr>
          <w:sz w:val="28"/>
          <w:szCs w:val="28"/>
        </w:rPr>
        <w:lastRenderedPageBreak/>
        <w:t>There must be a claim of accident or mistake before extrinsic evidence can be admitted to prove absence of mistake or accident.</w:t>
      </w:r>
      <w:r w:rsidR="005A0E4E">
        <w:rPr>
          <w:sz w:val="28"/>
          <w:szCs w:val="28"/>
        </w:rPr>
        <w:t xml:space="preserve"> </w:t>
      </w:r>
      <w:r w:rsidR="005A0E4E">
        <w:rPr>
          <w:i/>
          <w:iCs/>
          <w:sz w:val="28"/>
          <w:szCs w:val="28"/>
        </w:rPr>
        <w:t>Parks v. State</w:t>
      </w:r>
      <w:r w:rsidR="005A0E4E">
        <w:rPr>
          <w:sz w:val="28"/>
          <w:szCs w:val="28"/>
        </w:rPr>
        <w:t xml:space="preserve">, 300 Ga. 303, 306 (2016); </w:t>
      </w:r>
      <w:r w:rsidR="005A0E4E">
        <w:rPr>
          <w:i/>
          <w:iCs/>
          <w:sz w:val="28"/>
          <w:szCs w:val="28"/>
        </w:rPr>
        <w:t>Thompson v. State</w:t>
      </w:r>
      <w:r w:rsidR="005A0E4E">
        <w:rPr>
          <w:sz w:val="28"/>
          <w:szCs w:val="28"/>
        </w:rPr>
        <w:t>, 302 Ga. 533, 541 (2017).</w:t>
      </w:r>
    </w:p>
    <w:p w14:paraId="6D2D235A" w14:textId="662D5635" w:rsidR="00B211CF" w:rsidRPr="00B211CF" w:rsidRDefault="00B211CF" w:rsidP="00B211CF">
      <w:pPr>
        <w:spacing w:line="480" w:lineRule="auto"/>
        <w:rPr>
          <w:sz w:val="28"/>
          <w:szCs w:val="28"/>
        </w:rPr>
      </w:pPr>
      <w:r>
        <w:rPr>
          <w:sz w:val="28"/>
          <w:szCs w:val="28"/>
        </w:rPr>
        <w:pict w14:anchorId="06FE55C7">
          <v:rect id="_x0000_i1037" style="width:0;height:1.5pt" o:hralign="center" o:hrstd="t" o:hr="t" fillcolor="#a0a0a0" stroked="f"/>
        </w:pict>
      </w:r>
    </w:p>
    <w:p w14:paraId="364392D5" w14:textId="6EC62C96" w:rsidR="00B211CF" w:rsidRPr="00E9647C" w:rsidRDefault="00B211CF" w:rsidP="006B5ACE">
      <w:pPr>
        <w:pStyle w:val="ListParagraph"/>
        <w:numPr>
          <w:ilvl w:val="0"/>
          <w:numId w:val="3"/>
        </w:numPr>
        <w:spacing w:line="480" w:lineRule="auto"/>
        <w:rPr>
          <w:sz w:val="28"/>
          <w:szCs w:val="28"/>
        </w:rPr>
      </w:pPr>
      <w:r>
        <w:rPr>
          <w:b/>
          <w:bCs/>
          <w:sz w:val="28"/>
          <w:szCs w:val="28"/>
        </w:rPr>
        <w:t>Prior difficulties between the parties</w:t>
      </w:r>
    </w:p>
    <w:p w14:paraId="43A971F9" w14:textId="103E62D8" w:rsidR="00E9647C" w:rsidRPr="00E9647C" w:rsidRDefault="00E9647C" w:rsidP="00E9647C">
      <w:pPr>
        <w:spacing w:line="480" w:lineRule="auto"/>
        <w:rPr>
          <w:sz w:val="28"/>
          <w:szCs w:val="28"/>
        </w:rPr>
      </w:pPr>
      <w:r>
        <w:rPr>
          <w:sz w:val="28"/>
          <w:szCs w:val="28"/>
        </w:rPr>
        <w:pict w14:anchorId="516AFB7A">
          <v:rect id="_x0000_i1040" style="width:0;height:1.5pt" o:hralign="center" o:hrstd="t" o:hr="t" fillcolor="#a0a0a0" stroked="f"/>
        </w:pict>
      </w:r>
    </w:p>
    <w:p w14:paraId="69153CB0" w14:textId="7BA39E97" w:rsidR="00E9647C" w:rsidRDefault="00E9647C" w:rsidP="006B5ACE">
      <w:pPr>
        <w:pStyle w:val="ListParagraph"/>
        <w:numPr>
          <w:ilvl w:val="0"/>
          <w:numId w:val="3"/>
        </w:numPr>
        <w:spacing w:line="480" w:lineRule="auto"/>
        <w:rPr>
          <w:sz w:val="28"/>
          <w:szCs w:val="28"/>
        </w:rPr>
      </w:pPr>
      <w:r>
        <w:rPr>
          <w:sz w:val="28"/>
          <w:szCs w:val="28"/>
        </w:rPr>
        <w:t>Be aware of “other” statutes which allow evidence of other crimes</w:t>
      </w:r>
    </w:p>
    <w:p w14:paraId="4F07FFCA" w14:textId="5BB7AFDC" w:rsidR="00E9647C" w:rsidRDefault="00E9647C" w:rsidP="00E9647C">
      <w:pPr>
        <w:pStyle w:val="ListParagraph"/>
        <w:numPr>
          <w:ilvl w:val="1"/>
          <w:numId w:val="3"/>
        </w:numPr>
        <w:spacing w:line="480" w:lineRule="auto"/>
        <w:rPr>
          <w:sz w:val="28"/>
          <w:szCs w:val="28"/>
        </w:rPr>
      </w:pPr>
      <w:r w:rsidRPr="00E9647C">
        <w:rPr>
          <w:sz w:val="28"/>
          <w:szCs w:val="28"/>
        </w:rPr>
        <w:t>O.C.G.A. §</w:t>
      </w:r>
      <w:r>
        <w:rPr>
          <w:sz w:val="28"/>
          <w:szCs w:val="28"/>
        </w:rPr>
        <w:t xml:space="preserve"> 24-4-413 (Prior sexual offenses)</w:t>
      </w:r>
    </w:p>
    <w:p w14:paraId="67A0CEF4" w14:textId="45DBCCCD" w:rsidR="00E9647C" w:rsidRDefault="00E9647C" w:rsidP="00E9647C">
      <w:pPr>
        <w:pStyle w:val="ListParagraph"/>
        <w:numPr>
          <w:ilvl w:val="1"/>
          <w:numId w:val="3"/>
        </w:numPr>
        <w:spacing w:line="480" w:lineRule="auto"/>
        <w:rPr>
          <w:sz w:val="28"/>
          <w:szCs w:val="28"/>
        </w:rPr>
      </w:pPr>
      <w:r w:rsidRPr="00E9647C">
        <w:rPr>
          <w:sz w:val="28"/>
          <w:szCs w:val="28"/>
        </w:rPr>
        <w:t>O.C.G.A. §</w:t>
      </w:r>
      <w:r>
        <w:rPr>
          <w:sz w:val="28"/>
          <w:szCs w:val="28"/>
        </w:rPr>
        <w:t xml:space="preserve"> 24-4-414 (Prior Child Molestation offenses)</w:t>
      </w:r>
    </w:p>
    <w:p w14:paraId="04B7BAE7" w14:textId="59D817B9" w:rsidR="006727EB" w:rsidRPr="00632116" w:rsidRDefault="00632116" w:rsidP="00EE4121">
      <w:pPr>
        <w:pStyle w:val="ListParagraph"/>
        <w:numPr>
          <w:ilvl w:val="1"/>
          <w:numId w:val="3"/>
        </w:numPr>
        <w:spacing w:line="480" w:lineRule="auto"/>
        <w:rPr>
          <w:sz w:val="28"/>
          <w:szCs w:val="28"/>
        </w:rPr>
      </w:pPr>
      <w:r w:rsidRPr="00632116">
        <w:rPr>
          <w:sz w:val="28"/>
          <w:szCs w:val="28"/>
        </w:rPr>
        <w:t>O.C.G.A. § 24-4-418 (Gang Activity)</w:t>
      </w:r>
    </w:p>
    <w:p w14:paraId="60A70906" w14:textId="369B73D6" w:rsidR="009A0744" w:rsidRDefault="000D1357" w:rsidP="009A0744">
      <w:pPr>
        <w:spacing w:line="480" w:lineRule="auto"/>
        <w:rPr>
          <w:b/>
          <w:bCs/>
          <w:sz w:val="28"/>
          <w:szCs w:val="28"/>
        </w:rPr>
      </w:pPr>
      <w:r>
        <w:rPr>
          <w:sz w:val="28"/>
          <w:szCs w:val="28"/>
        </w:rPr>
        <w:pict w14:anchorId="21136448">
          <v:rect id="_x0000_i1044" style="width:0;height:1.5pt" o:hralign="center" o:hrstd="t" o:hr="t" fillcolor="#a0a0a0" stroked="f"/>
        </w:pict>
      </w:r>
    </w:p>
    <w:p w14:paraId="43FA8404" w14:textId="765F2CB8" w:rsidR="006B5ACE" w:rsidRDefault="006B5ACE" w:rsidP="006B5ACE">
      <w:pPr>
        <w:pStyle w:val="ListParagraph"/>
        <w:numPr>
          <w:ilvl w:val="0"/>
          <w:numId w:val="3"/>
        </w:numPr>
        <w:spacing w:line="480" w:lineRule="auto"/>
        <w:rPr>
          <w:sz w:val="28"/>
          <w:szCs w:val="28"/>
        </w:rPr>
      </w:pPr>
      <w:r>
        <w:rPr>
          <w:sz w:val="28"/>
          <w:szCs w:val="28"/>
        </w:rPr>
        <w:t>Do you normally allow 404(b) evidence based upon a pretrial proffer by a prosecutor or do you require “live witnesses?”</w:t>
      </w:r>
    </w:p>
    <w:p w14:paraId="3C43823C" w14:textId="5EBCB83D" w:rsidR="00B211CF" w:rsidRPr="00B211CF" w:rsidRDefault="00B211CF" w:rsidP="00B211CF">
      <w:pPr>
        <w:spacing w:line="480" w:lineRule="auto"/>
        <w:rPr>
          <w:sz w:val="28"/>
          <w:szCs w:val="28"/>
        </w:rPr>
      </w:pPr>
      <w:r>
        <w:rPr>
          <w:sz w:val="28"/>
          <w:szCs w:val="28"/>
        </w:rPr>
        <w:pict w14:anchorId="3E585B8B">
          <v:rect id="_x0000_i1036" style="width:0;height:1.5pt" o:hralign="center" o:hrstd="t" o:hr="t" fillcolor="#a0a0a0" stroked="f"/>
        </w:pict>
      </w:r>
    </w:p>
    <w:p w14:paraId="4E195316" w14:textId="24041EFC" w:rsidR="009A0744" w:rsidRDefault="009A0744" w:rsidP="009A0744">
      <w:pPr>
        <w:spacing w:line="480" w:lineRule="auto"/>
        <w:rPr>
          <w:sz w:val="28"/>
          <w:szCs w:val="28"/>
        </w:rPr>
      </w:pPr>
      <w:r>
        <w:rPr>
          <w:sz w:val="28"/>
          <w:szCs w:val="28"/>
        </w:rPr>
        <w:lastRenderedPageBreak/>
        <w:t xml:space="preserve">Folks, we want to thank our guest today, </w:t>
      </w:r>
      <w:r w:rsidR="00632116">
        <w:rPr>
          <w:sz w:val="28"/>
          <w:szCs w:val="28"/>
        </w:rPr>
        <w:t>Judge Robert McBurney</w:t>
      </w:r>
      <w:r>
        <w:rPr>
          <w:sz w:val="28"/>
          <w:szCs w:val="28"/>
        </w:rPr>
        <w:t xml:space="preserve">.  </w:t>
      </w:r>
      <w:r w:rsidR="00632116">
        <w:rPr>
          <w:sz w:val="28"/>
          <w:szCs w:val="28"/>
        </w:rPr>
        <w:t>He truly is a wonderful judge and an even better colleague.  He is extremely busy and we are fortunate to have him share his time with us.</w:t>
      </w:r>
    </w:p>
    <w:p w14:paraId="26089738" w14:textId="77777777" w:rsidR="0088054E" w:rsidRDefault="00632116" w:rsidP="009A0744">
      <w:pPr>
        <w:spacing w:line="480" w:lineRule="auto"/>
        <w:rPr>
          <w:i/>
          <w:iCs/>
          <w:sz w:val="28"/>
          <w:szCs w:val="28"/>
        </w:rPr>
      </w:pPr>
      <w:r>
        <w:rPr>
          <w:i/>
          <w:iCs/>
          <w:sz w:val="28"/>
          <w:szCs w:val="28"/>
        </w:rPr>
        <w:t>So many of our listeners have asked for an episode on 404(b) and the various issues associated with that Rule, we are glad we have been able to coordinate schedules with Judge McBurney.</w:t>
      </w:r>
    </w:p>
    <w:p w14:paraId="152E6762" w14:textId="623F2C76" w:rsidR="009A0744" w:rsidRDefault="0088054E" w:rsidP="009A0744">
      <w:pPr>
        <w:spacing w:line="480" w:lineRule="auto"/>
        <w:rPr>
          <w:sz w:val="28"/>
          <w:szCs w:val="28"/>
        </w:rPr>
      </w:pPr>
      <w:r>
        <w:rPr>
          <w:sz w:val="28"/>
          <w:szCs w:val="28"/>
        </w:rPr>
        <w:t xml:space="preserve">As we have noted, this episode was the product of requests made by our listeners.  Please continue to help us help you by providing input and suggestions for episode topics at </w:t>
      </w:r>
      <w:hyperlink r:id="rId8" w:history="1">
        <w:r w:rsidRPr="00B16C56">
          <w:rPr>
            <w:rStyle w:val="Hyperlink"/>
            <w:sz w:val="28"/>
            <w:szCs w:val="28"/>
          </w:rPr>
          <w:t>goodjudgepod@gmail.com</w:t>
        </w:r>
      </w:hyperlink>
      <w:r>
        <w:rPr>
          <w:sz w:val="28"/>
          <w:szCs w:val="28"/>
        </w:rPr>
        <w:t>.  You can visit our website, goodjudgepod.com for the episode notes from this and all other episodes.</w:t>
      </w:r>
      <w:r w:rsidR="00632116">
        <w:rPr>
          <w:i/>
          <w:iCs/>
          <w:sz w:val="28"/>
          <w:szCs w:val="28"/>
        </w:rPr>
        <w:t xml:space="preserve">  </w:t>
      </w:r>
    </w:p>
    <w:p w14:paraId="52D7345D" w14:textId="0A5ED763" w:rsidR="003E554B" w:rsidRPr="0088054E" w:rsidRDefault="003E554B" w:rsidP="009A0744">
      <w:pPr>
        <w:spacing w:line="480" w:lineRule="auto"/>
        <w:rPr>
          <w:sz w:val="28"/>
          <w:szCs w:val="28"/>
        </w:rPr>
      </w:pPr>
      <w:r>
        <w:rPr>
          <w:i/>
          <w:iCs/>
          <w:sz w:val="28"/>
          <w:szCs w:val="28"/>
        </w:rPr>
        <w:t>Again, thanks for listening to the Good Judge-</w:t>
      </w:r>
      <w:proofErr w:type="spellStart"/>
      <w:r>
        <w:rPr>
          <w:i/>
          <w:iCs/>
          <w:sz w:val="28"/>
          <w:szCs w:val="28"/>
        </w:rPr>
        <w:t>Ment</w:t>
      </w:r>
      <w:proofErr w:type="spellEnd"/>
      <w:r>
        <w:rPr>
          <w:i/>
          <w:iCs/>
          <w:sz w:val="28"/>
          <w:szCs w:val="28"/>
        </w:rPr>
        <w:t xml:space="preserve"> Podcast.  And remember, wash your hands </w:t>
      </w:r>
      <w:r w:rsidR="0088054E">
        <w:rPr>
          <w:i/>
          <w:iCs/>
          <w:sz w:val="28"/>
          <w:szCs w:val="28"/>
        </w:rPr>
        <w:t>every time you talk about “other crimes.”  It just makes good sense.</w:t>
      </w:r>
    </w:p>
    <w:sectPr w:rsidR="003E554B" w:rsidRPr="0088054E">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8F318" w14:textId="77777777" w:rsidR="000D1357" w:rsidRDefault="000D1357" w:rsidP="00A45391">
      <w:pPr>
        <w:spacing w:after="0" w:line="240" w:lineRule="auto"/>
      </w:pPr>
      <w:r>
        <w:separator/>
      </w:r>
    </w:p>
  </w:endnote>
  <w:endnote w:type="continuationSeparator" w:id="0">
    <w:p w14:paraId="59B228ED" w14:textId="77777777" w:rsidR="000D1357" w:rsidRDefault="000D1357" w:rsidP="00A4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DD758" w14:textId="77777777" w:rsidR="00A45C29" w:rsidRDefault="00A45C29" w:rsidP="00C527D7">
    <w:pPr>
      <w:pStyle w:val="Footer"/>
      <w:tabs>
        <w:tab w:val="clear" w:pos="4680"/>
        <w:tab w:val="clear" w:pos="9360"/>
      </w:tabs>
      <w:jc w:val="center"/>
      <w:rPr>
        <w:b/>
        <w:bCs/>
        <w:sz w:val="20"/>
        <w:szCs w:val="20"/>
      </w:rPr>
    </w:pPr>
  </w:p>
  <w:p w14:paraId="44CAF71A" w14:textId="242206D6" w:rsidR="00A45C29" w:rsidRDefault="00264C6F" w:rsidP="00C527D7">
    <w:pPr>
      <w:pStyle w:val="Footer"/>
      <w:tabs>
        <w:tab w:val="clear" w:pos="4680"/>
        <w:tab w:val="clear" w:pos="9360"/>
      </w:tabs>
      <w:jc w:val="center"/>
      <w:rPr>
        <w:b/>
        <w:bCs/>
        <w:sz w:val="20"/>
        <w:szCs w:val="20"/>
      </w:rPr>
    </w:pPr>
    <w:r>
      <w:rPr>
        <w:b/>
        <w:bCs/>
        <w:sz w:val="20"/>
        <w:szCs w:val="20"/>
      </w:rPr>
      <w:t>404(b)</w:t>
    </w:r>
    <w:r w:rsidR="00A45C29">
      <w:rPr>
        <w:b/>
        <w:bCs/>
        <w:sz w:val="20"/>
        <w:szCs w:val="20"/>
      </w:rPr>
      <w:t xml:space="preserve"> Episode Notes</w:t>
    </w:r>
  </w:p>
  <w:p w14:paraId="397679C3" w14:textId="78E91DF0" w:rsidR="00A45C29" w:rsidRPr="00DB0007" w:rsidRDefault="00A45C29" w:rsidP="00C527D7">
    <w:pPr>
      <w:pStyle w:val="Footer"/>
      <w:tabs>
        <w:tab w:val="clear" w:pos="4680"/>
        <w:tab w:val="clear" w:pos="9360"/>
      </w:tabs>
      <w:jc w:val="center"/>
      <w:rPr>
        <w:b/>
        <w:bCs/>
        <w:sz w:val="20"/>
        <w:szCs w:val="20"/>
      </w:rPr>
    </w:pPr>
    <w:r>
      <w:rPr>
        <w:b/>
        <w:bCs/>
        <w:sz w:val="20"/>
        <w:szCs w:val="20"/>
      </w:rPr>
      <w:t xml:space="preserve">Recording date </w:t>
    </w:r>
    <w:r w:rsidR="00566EA5">
      <w:rPr>
        <w:b/>
        <w:bCs/>
        <w:sz w:val="20"/>
        <w:szCs w:val="20"/>
      </w:rPr>
      <w:t>11/19/2020</w:t>
    </w:r>
  </w:p>
  <w:p w14:paraId="1129F51A" w14:textId="77777777" w:rsidR="00A45C29" w:rsidRDefault="00A45C29"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Pr>
        <w:b/>
        <w:bCs/>
        <w:sz w:val="20"/>
        <w:szCs w:val="20"/>
      </w:rPr>
      <w:t>5</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Pr>
        <w:b/>
        <w:bCs/>
        <w:sz w:val="20"/>
        <w:szCs w:val="20"/>
      </w:rPr>
      <w:t>8</w:t>
    </w:r>
    <w:r w:rsidRPr="00DB0007">
      <w:rPr>
        <w:b/>
        <w:bCs/>
        <w:sz w:val="20"/>
        <w:szCs w:val="20"/>
      </w:rPr>
      <w:fldChar w:fldCharType="end"/>
    </w:r>
  </w:p>
  <w:p w14:paraId="0C436C18" w14:textId="77777777" w:rsidR="00A45C29" w:rsidRDefault="00A45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71D03" w14:textId="77777777" w:rsidR="000D1357" w:rsidRDefault="000D1357" w:rsidP="00A45391">
      <w:pPr>
        <w:spacing w:after="0" w:line="240" w:lineRule="auto"/>
      </w:pPr>
      <w:r>
        <w:separator/>
      </w:r>
    </w:p>
  </w:footnote>
  <w:footnote w:type="continuationSeparator" w:id="0">
    <w:p w14:paraId="016949E2" w14:textId="77777777" w:rsidR="000D1357" w:rsidRDefault="000D1357" w:rsidP="00A45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8D6486"/>
    <w:multiLevelType w:val="hybridMultilevel"/>
    <w:tmpl w:val="6D54AF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C81BB0"/>
    <w:multiLevelType w:val="hybridMultilevel"/>
    <w:tmpl w:val="4942F75A"/>
    <w:lvl w:ilvl="0" w:tplc="A1C4544C">
      <w:start w:val="1"/>
      <w:numFmt w:val="decimal"/>
      <w:pStyle w:val="ListParagraph"/>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910"/>
    <w:rsid w:val="0001480E"/>
    <w:rsid w:val="0004373D"/>
    <w:rsid w:val="000A12EF"/>
    <w:rsid w:val="000D1357"/>
    <w:rsid w:val="0015116A"/>
    <w:rsid w:val="00154C02"/>
    <w:rsid w:val="001560FF"/>
    <w:rsid w:val="001A111E"/>
    <w:rsid w:val="00204026"/>
    <w:rsid w:val="00240ED5"/>
    <w:rsid w:val="00264C6F"/>
    <w:rsid w:val="002D5507"/>
    <w:rsid w:val="00306BF1"/>
    <w:rsid w:val="00351C09"/>
    <w:rsid w:val="0035289B"/>
    <w:rsid w:val="003B0A35"/>
    <w:rsid w:val="003D32D0"/>
    <w:rsid w:val="003E554B"/>
    <w:rsid w:val="004350FA"/>
    <w:rsid w:val="00442E3B"/>
    <w:rsid w:val="004B6A54"/>
    <w:rsid w:val="004D52B2"/>
    <w:rsid w:val="004E3958"/>
    <w:rsid w:val="004E7D65"/>
    <w:rsid w:val="00523787"/>
    <w:rsid w:val="00566EA5"/>
    <w:rsid w:val="005A0E4E"/>
    <w:rsid w:val="005B1062"/>
    <w:rsid w:val="005D02EA"/>
    <w:rsid w:val="00603910"/>
    <w:rsid w:val="00612880"/>
    <w:rsid w:val="00632116"/>
    <w:rsid w:val="006727EB"/>
    <w:rsid w:val="00696A9E"/>
    <w:rsid w:val="006B5ACE"/>
    <w:rsid w:val="007638AA"/>
    <w:rsid w:val="0077362A"/>
    <w:rsid w:val="00820B40"/>
    <w:rsid w:val="0088054E"/>
    <w:rsid w:val="00900C32"/>
    <w:rsid w:val="00943B49"/>
    <w:rsid w:val="009A0744"/>
    <w:rsid w:val="009A1C12"/>
    <w:rsid w:val="00A35755"/>
    <w:rsid w:val="00A45391"/>
    <w:rsid w:val="00A45C29"/>
    <w:rsid w:val="00A81641"/>
    <w:rsid w:val="00AB112F"/>
    <w:rsid w:val="00AC7A81"/>
    <w:rsid w:val="00B211CF"/>
    <w:rsid w:val="00B25E7E"/>
    <w:rsid w:val="00B962EC"/>
    <w:rsid w:val="00C041B3"/>
    <w:rsid w:val="00C505A7"/>
    <w:rsid w:val="00C5291C"/>
    <w:rsid w:val="00C5423F"/>
    <w:rsid w:val="00C55C6A"/>
    <w:rsid w:val="00C7413C"/>
    <w:rsid w:val="00D34266"/>
    <w:rsid w:val="00D37377"/>
    <w:rsid w:val="00D5117B"/>
    <w:rsid w:val="00DC1FBD"/>
    <w:rsid w:val="00E04E48"/>
    <w:rsid w:val="00E12F81"/>
    <w:rsid w:val="00E806A0"/>
    <w:rsid w:val="00E9647C"/>
    <w:rsid w:val="00F15F5B"/>
    <w:rsid w:val="00F216DC"/>
    <w:rsid w:val="00F9397D"/>
    <w:rsid w:val="00FB1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8E03"/>
  <w15:chartTrackingRefBased/>
  <w15:docId w15:val="{DF0D9E17-9E79-4862-BFC8-D2324A1D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w:hAnsi="Times New Roman" w:cstheme="minorBidi"/>
        <w:sz w:val="24"/>
        <w:szCs w:val="24"/>
        <w:lang w:val="en-US" w:eastAsia="en-US" w:bidi="ar-SA"/>
      </w:rPr>
    </w:rPrDefault>
    <w:pPrDefault>
      <w:pPr>
        <w:spacing w:after="240"/>
        <w:ind w:left="720"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2B2"/>
    <w:pPr>
      <w:spacing w:after="200" w:line="276" w:lineRule="auto"/>
      <w:ind w:left="0" w:right="0"/>
    </w:pPr>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Quote">
    <w:name w:val="Legal Quote"/>
    <w:basedOn w:val="Normal"/>
    <w:qFormat/>
    <w:rsid w:val="00FB1944"/>
    <w:pPr>
      <w:keepNext/>
      <w:spacing w:before="240" w:after="240" w:line="240" w:lineRule="auto"/>
      <w:ind w:left="720" w:right="720"/>
    </w:pPr>
  </w:style>
  <w:style w:type="character" w:styleId="EndnoteReference">
    <w:name w:val="endnote reference"/>
    <w:basedOn w:val="DefaultParagraphFont"/>
    <w:uiPriority w:val="99"/>
    <w:unhideWhenUsed/>
    <w:qFormat/>
    <w:rsid w:val="0001480E"/>
    <w:rPr>
      <w:rFonts w:ascii="Times New Roman" w:hAnsi="Times New Roman"/>
      <w:b/>
      <w:caps w:val="0"/>
      <w:smallCaps w:val="0"/>
      <w:strike w:val="0"/>
      <w:dstrike w:val="0"/>
      <w:vanish w:val="0"/>
      <w:color w:val="auto"/>
      <w:sz w:val="24"/>
      <w:bdr w:val="none" w:sz="0" w:space="0" w:color="auto"/>
      <w:vertAlign w:val="superscript"/>
    </w:rPr>
  </w:style>
  <w:style w:type="paragraph" w:styleId="EndnoteText">
    <w:name w:val="endnote text"/>
    <w:basedOn w:val="Normal"/>
    <w:link w:val="EndnoteTextChar"/>
    <w:uiPriority w:val="99"/>
    <w:semiHidden/>
    <w:unhideWhenUsed/>
    <w:qFormat/>
    <w:rsid w:val="00A35755"/>
    <w:pPr>
      <w:spacing w:line="240" w:lineRule="auto"/>
      <w:ind w:left="432" w:hanging="432"/>
    </w:pPr>
    <w:rPr>
      <w:szCs w:val="20"/>
    </w:rPr>
  </w:style>
  <w:style w:type="character" w:customStyle="1" w:styleId="EndnoteTextChar">
    <w:name w:val="Endnote Text Char"/>
    <w:basedOn w:val="DefaultParagraphFont"/>
    <w:link w:val="EndnoteText"/>
    <w:uiPriority w:val="99"/>
    <w:semiHidden/>
    <w:rsid w:val="00A35755"/>
    <w:rPr>
      <w:szCs w:val="20"/>
    </w:rPr>
  </w:style>
  <w:style w:type="paragraph" w:styleId="ListParagraph">
    <w:name w:val="List Paragraph"/>
    <w:basedOn w:val="Normal"/>
    <w:uiPriority w:val="34"/>
    <w:qFormat/>
    <w:rsid w:val="002D5507"/>
    <w:pPr>
      <w:numPr>
        <w:numId w:val="2"/>
      </w:numPr>
    </w:pPr>
  </w:style>
  <w:style w:type="paragraph" w:customStyle="1" w:styleId="Legalquote0">
    <w:name w:val="Legal quote"/>
    <w:basedOn w:val="Normal"/>
    <w:qFormat/>
    <w:rsid w:val="00820B40"/>
    <w:pPr>
      <w:spacing w:before="240" w:after="240" w:line="240" w:lineRule="auto"/>
      <w:ind w:left="720" w:right="720"/>
    </w:pPr>
    <w:rPr>
      <w:rFonts w:eastAsiaTheme="minorHAnsi"/>
    </w:rPr>
  </w:style>
  <w:style w:type="character" w:styleId="FootnoteReference">
    <w:name w:val="footnote reference"/>
    <w:basedOn w:val="DefaultParagraphFont"/>
    <w:uiPriority w:val="99"/>
    <w:unhideWhenUsed/>
    <w:rsid w:val="00B962EC"/>
    <w:rPr>
      <w:rFonts w:ascii="Times New Roman" w:hAnsi="Times New Roman"/>
      <w:b/>
      <w:color w:val="auto"/>
      <w:sz w:val="24"/>
      <w:vertAlign w:val="superscript"/>
    </w:rPr>
  </w:style>
  <w:style w:type="paragraph" w:styleId="Header">
    <w:name w:val="header"/>
    <w:basedOn w:val="Normal"/>
    <w:link w:val="HeaderChar"/>
    <w:uiPriority w:val="99"/>
    <w:unhideWhenUsed/>
    <w:rsid w:val="00A45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C29"/>
    <w:rPr>
      <w:rFonts w:cs="Times New Roman"/>
    </w:rPr>
  </w:style>
  <w:style w:type="paragraph" w:styleId="Footer">
    <w:name w:val="footer"/>
    <w:basedOn w:val="Normal"/>
    <w:link w:val="FooterChar"/>
    <w:uiPriority w:val="99"/>
    <w:unhideWhenUsed/>
    <w:rsid w:val="00A45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C29"/>
    <w:rPr>
      <w:rFonts w:cs="Times New Roman"/>
    </w:rPr>
  </w:style>
  <w:style w:type="character" w:styleId="Hyperlink">
    <w:name w:val="Hyperlink"/>
    <w:basedOn w:val="DefaultParagraphFont"/>
    <w:uiPriority w:val="99"/>
    <w:unhideWhenUsed/>
    <w:rsid w:val="00DC1FBD"/>
    <w:rPr>
      <w:color w:val="0563C1" w:themeColor="hyperlink"/>
      <w:u w:val="single"/>
    </w:rPr>
  </w:style>
  <w:style w:type="character" w:styleId="UnresolvedMention">
    <w:name w:val="Unresolved Mention"/>
    <w:basedOn w:val="DefaultParagraphFont"/>
    <w:uiPriority w:val="99"/>
    <w:semiHidden/>
    <w:unhideWhenUsed/>
    <w:rsid w:val="00DC1FBD"/>
    <w:rPr>
      <w:color w:val="605E5C"/>
      <w:shd w:val="clear" w:color="auto" w:fill="E1DFDD"/>
    </w:rPr>
  </w:style>
  <w:style w:type="character" w:styleId="Emphasis">
    <w:name w:val="Emphasis"/>
    <w:basedOn w:val="DefaultParagraphFont"/>
    <w:uiPriority w:val="20"/>
    <w:qFormat/>
    <w:rsid w:val="003B0A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628183">
      <w:bodyDiv w:val="1"/>
      <w:marLeft w:val="0"/>
      <w:marRight w:val="0"/>
      <w:marTop w:val="0"/>
      <w:marBottom w:val="0"/>
      <w:divBdr>
        <w:top w:val="none" w:sz="0" w:space="0" w:color="auto"/>
        <w:left w:val="none" w:sz="0" w:space="0" w:color="auto"/>
        <w:bottom w:val="none" w:sz="0" w:space="0" w:color="auto"/>
        <w:right w:val="none" w:sz="0" w:space="0" w:color="auto"/>
      </w:divBdr>
      <w:divsChild>
        <w:div w:id="1712874060">
          <w:marLeft w:val="0"/>
          <w:marRight w:val="0"/>
          <w:marTop w:val="0"/>
          <w:marBottom w:val="0"/>
          <w:divBdr>
            <w:top w:val="none" w:sz="0" w:space="0" w:color="auto"/>
            <w:left w:val="none" w:sz="0" w:space="0" w:color="auto"/>
            <w:bottom w:val="none" w:sz="0" w:space="0" w:color="auto"/>
            <w:right w:val="none" w:sz="0" w:space="0" w:color="auto"/>
          </w:divBdr>
          <w:divsChild>
            <w:div w:id="1791166464">
              <w:marLeft w:val="0"/>
              <w:marRight w:val="0"/>
              <w:marTop w:val="0"/>
              <w:marBottom w:val="0"/>
              <w:divBdr>
                <w:top w:val="none" w:sz="0" w:space="0" w:color="auto"/>
                <w:left w:val="none" w:sz="0" w:space="0" w:color="auto"/>
                <w:bottom w:val="none" w:sz="0" w:space="0" w:color="auto"/>
                <w:right w:val="none" w:sz="0" w:space="0" w:color="auto"/>
              </w:divBdr>
            </w:div>
          </w:divsChild>
        </w:div>
        <w:div w:id="1800566189">
          <w:marLeft w:val="0"/>
          <w:marRight w:val="0"/>
          <w:marTop w:val="0"/>
          <w:marBottom w:val="0"/>
          <w:divBdr>
            <w:top w:val="none" w:sz="0" w:space="0" w:color="auto"/>
            <w:left w:val="none" w:sz="0" w:space="0" w:color="auto"/>
            <w:bottom w:val="none" w:sz="0" w:space="0" w:color="auto"/>
            <w:right w:val="none" w:sz="0" w:space="0" w:color="auto"/>
          </w:divBdr>
          <w:divsChild>
            <w:div w:id="7050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judgepod@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C52D3-CB14-48F6-AC02-A1AE2AC7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2199</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2</cp:revision>
  <dcterms:created xsi:type="dcterms:W3CDTF">2020-11-19T03:57:00Z</dcterms:created>
  <dcterms:modified xsi:type="dcterms:W3CDTF">2020-11-19T03:57:00Z</dcterms:modified>
</cp:coreProperties>
</file>