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DB925" w14:textId="72C5067F" w:rsidR="005637AD" w:rsidRDefault="0022219C" w:rsidP="00ED3C2F">
      <w:pPr>
        <w:pStyle w:val="ListParaNoIndent"/>
        <w:spacing w:after="0"/>
        <w:jc w:val="center"/>
        <w:rPr>
          <w:b/>
          <w:u w:val="single"/>
        </w:rPr>
      </w:pPr>
      <w:r>
        <w:rPr>
          <w:b/>
          <w:u w:val="single"/>
        </w:rPr>
        <w:t>RECUSAL MOTIONS</w:t>
      </w:r>
    </w:p>
    <w:p w14:paraId="25256E01" w14:textId="2075687A" w:rsidR="006B5F86" w:rsidRPr="006B5F86" w:rsidRDefault="006B5F86" w:rsidP="00ED3C2F">
      <w:pPr>
        <w:pStyle w:val="ListParaNoIndent"/>
        <w:widowControl w:val="0"/>
        <w:numPr>
          <w:ilvl w:val="0"/>
          <w:numId w:val="18"/>
        </w:numPr>
        <w:spacing w:after="0"/>
        <w:rPr>
          <w:b/>
          <w:u w:val="single"/>
        </w:rPr>
      </w:pPr>
      <w:r>
        <w:rPr>
          <w:bCs/>
        </w:rPr>
        <w:t>Today’s episode will deal with an issue that causes judges some significant concern and worry.  Don’t worry, we are going to provide a step-by-step analysis of how to handle this prickly situations.</w:t>
      </w:r>
    </w:p>
    <w:p w14:paraId="5335E4FD" w14:textId="1ED8D6A9" w:rsidR="006B5F86" w:rsidRPr="00E02422" w:rsidRDefault="006B5F86" w:rsidP="00ED3C2F">
      <w:pPr>
        <w:pStyle w:val="ListParaNoIndent"/>
        <w:widowControl w:val="0"/>
        <w:numPr>
          <w:ilvl w:val="0"/>
          <w:numId w:val="18"/>
        </w:numPr>
        <w:spacing w:after="0"/>
        <w:rPr>
          <w:b/>
          <w:i/>
          <w:iCs/>
          <w:u w:val="single"/>
        </w:rPr>
      </w:pPr>
      <w:r w:rsidRPr="00E02422">
        <w:rPr>
          <w:b/>
          <w:i/>
          <w:iCs/>
        </w:rPr>
        <w:t>RECUSAL MOTIONS</w:t>
      </w:r>
    </w:p>
    <w:p w14:paraId="15C72930" w14:textId="2563F4C9" w:rsidR="006B5F86" w:rsidRPr="006B5F86" w:rsidRDefault="006B5F86" w:rsidP="00ED3C2F">
      <w:pPr>
        <w:pStyle w:val="ListParaNoIndent"/>
        <w:widowControl w:val="0"/>
        <w:numPr>
          <w:ilvl w:val="0"/>
          <w:numId w:val="18"/>
        </w:numPr>
        <w:spacing w:after="0"/>
        <w:rPr>
          <w:b/>
          <w:u w:val="single"/>
        </w:rPr>
      </w:pPr>
      <w:r>
        <w:rPr>
          <w:bCs/>
        </w:rPr>
        <w:t xml:space="preserve">There really is a step-by-step process that </w:t>
      </w:r>
      <w:r w:rsidR="00E02422">
        <w:rPr>
          <w:bCs/>
        </w:rPr>
        <w:t>a judge should consult when a recusal motion is filed.</w:t>
      </w:r>
    </w:p>
    <w:p w14:paraId="10BD3E3B" w14:textId="7FAFC936" w:rsidR="007F4B46" w:rsidRDefault="007F4B46" w:rsidP="00ED3C2F">
      <w:pPr>
        <w:pStyle w:val="ListParaNoIndent"/>
        <w:widowControl w:val="0"/>
        <w:numPr>
          <w:ilvl w:val="0"/>
          <w:numId w:val="18"/>
        </w:numPr>
        <w:spacing w:after="0"/>
        <w:rPr>
          <w:b/>
          <w:u w:val="single"/>
        </w:rPr>
      </w:pPr>
      <w:r>
        <w:rPr>
          <w:bCs/>
        </w:rPr>
        <w:t>Remember that we post written outlines of our notes on our website, GoodJudgePod.com</w:t>
      </w:r>
    </w:p>
    <w:p w14:paraId="4DE0AED5" w14:textId="0ADF3C30" w:rsidR="00A276B0" w:rsidRDefault="003A7D0E" w:rsidP="00ED3C2F">
      <w:pPr>
        <w:pStyle w:val="ListParaNoIndent"/>
        <w:widowControl w:val="0"/>
        <w:spacing w:after="0"/>
      </w:pPr>
      <w:r>
        <w:pict w14:anchorId="5F9439B3">
          <v:rect id="_x0000_i1025" style="width:468pt;height:1.5pt" o:hralign="center" o:hrstd="t" o:hrnoshade="t" o:hr="t" fillcolor="black [3213]" stroked="f"/>
        </w:pict>
      </w:r>
    </w:p>
    <w:p w14:paraId="3114AEE4" w14:textId="6DE48001" w:rsidR="00A276B0" w:rsidRDefault="00E02422" w:rsidP="00ED3C2F">
      <w:pPr>
        <w:pStyle w:val="ListParaNoIndent"/>
        <w:widowControl w:val="0"/>
        <w:spacing w:before="240" w:after="0"/>
        <w:jc w:val="center"/>
        <w:rPr>
          <w:b/>
          <w:bCs/>
          <w:u w:val="single"/>
        </w:rPr>
      </w:pPr>
      <w:r>
        <w:rPr>
          <w:b/>
          <w:bCs/>
          <w:u w:val="single"/>
        </w:rPr>
        <w:t>DO NOT GET ANGRY!</w:t>
      </w:r>
    </w:p>
    <w:p w14:paraId="720F8A64" w14:textId="1B8CDAAA" w:rsidR="00E02422" w:rsidRPr="00F96953" w:rsidRDefault="00F96953" w:rsidP="00ED3C2F">
      <w:pPr>
        <w:pStyle w:val="ListParaNoIndent"/>
        <w:widowControl w:val="0"/>
        <w:numPr>
          <w:ilvl w:val="0"/>
          <w:numId w:val="18"/>
        </w:numPr>
        <w:spacing w:after="0"/>
        <w:rPr>
          <w:b/>
          <w:bCs/>
          <w:u w:val="single"/>
        </w:rPr>
      </w:pPr>
      <w:r>
        <w:t xml:space="preserve">When a judge receives a motion to have him/her recused from a case, it is common for a judge to react with anger.  </w:t>
      </w:r>
    </w:p>
    <w:p w14:paraId="05AD75F1" w14:textId="5A87DBB2" w:rsidR="00F96953" w:rsidRPr="00F96953" w:rsidRDefault="00F96953" w:rsidP="00ED3C2F">
      <w:pPr>
        <w:pStyle w:val="ListParaNoIndent"/>
        <w:widowControl w:val="0"/>
        <w:numPr>
          <w:ilvl w:val="0"/>
          <w:numId w:val="18"/>
        </w:numPr>
        <w:spacing w:after="0"/>
        <w:rPr>
          <w:b/>
          <w:bCs/>
          <w:u w:val="single"/>
        </w:rPr>
      </w:pPr>
      <w:r>
        <w:t>DO NOT DO THAT!</w:t>
      </w:r>
    </w:p>
    <w:p w14:paraId="29042132" w14:textId="66DEE11D" w:rsidR="00F96953" w:rsidRPr="00F96953" w:rsidRDefault="00F96953" w:rsidP="00ED3C2F">
      <w:pPr>
        <w:pStyle w:val="ListParaNoIndent"/>
        <w:widowControl w:val="0"/>
        <w:numPr>
          <w:ilvl w:val="0"/>
          <w:numId w:val="18"/>
        </w:numPr>
        <w:spacing w:after="0"/>
        <w:rPr>
          <w:b/>
          <w:bCs/>
          <w:u w:val="single"/>
        </w:rPr>
      </w:pPr>
      <w:r>
        <w:t>It is a normal, human reaction.  A party is suggesting that the judge has prejudged the case, has a personal relationship that would disqualify the judge or, for some reason, should not be allowed to hear the case.</w:t>
      </w:r>
    </w:p>
    <w:p w14:paraId="0F6F022F" w14:textId="5BCE6B6F" w:rsidR="00F96953" w:rsidRPr="00BF5F42" w:rsidRDefault="00F96953" w:rsidP="00ED3C2F">
      <w:pPr>
        <w:pStyle w:val="ListParaNoIndent"/>
        <w:widowControl w:val="0"/>
        <w:numPr>
          <w:ilvl w:val="0"/>
          <w:numId w:val="18"/>
        </w:numPr>
        <w:spacing w:after="0"/>
        <w:rPr>
          <w:b/>
          <w:bCs/>
          <w:u w:val="single"/>
        </w:rPr>
      </w:pPr>
      <w:r>
        <w:t xml:space="preserve">Judges value their independence and integrity and these recusal motions suggest that the judge has done something wrong </w:t>
      </w:r>
      <w:r w:rsidR="00BF5F42">
        <w:t>or at least “shady.”</w:t>
      </w:r>
    </w:p>
    <w:p w14:paraId="18FC68A7" w14:textId="7C899B7C" w:rsidR="00BF5F42" w:rsidRPr="00BF5F42" w:rsidRDefault="00BF5F42" w:rsidP="00ED3C2F">
      <w:pPr>
        <w:pStyle w:val="ListParaNoIndent"/>
        <w:widowControl w:val="0"/>
        <w:numPr>
          <w:ilvl w:val="0"/>
          <w:numId w:val="18"/>
        </w:numPr>
        <w:spacing w:after="0"/>
        <w:rPr>
          <w:b/>
          <w:bCs/>
          <w:u w:val="single"/>
        </w:rPr>
      </w:pPr>
      <w:r>
        <w:lastRenderedPageBreak/>
        <w:t>As you will learn during the episode, even blatantly false allegations cannot be responded to by the judge.</w:t>
      </w:r>
    </w:p>
    <w:p w14:paraId="461EE779" w14:textId="2BA50864" w:rsidR="00BF5F42" w:rsidRPr="0016714D" w:rsidRDefault="00BF5F42" w:rsidP="00ED3C2F">
      <w:pPr>
        <w:pStyle w:val="ListParaNoIndent"/>
        <w:widowControl w:val="0"/>
        <w:numPr>
          <w:ilvl w:val="0"/>
          <w:numId w:val="18"/>
        </w:numPr>
        <w:spacing w:after="0"/>
        <w:rPr>
          <w:b/>
          <w:bCs/>
          <w:u w:val="single"/>
        </w:rPr>
      </w:pPr>
      <w:r>
        <w:t>If you did not want to be recused in the first place, you can almost guarantee that you will be recused if you respond to the allegations in the motion.</w:t>
      </w:r>
    </w:p>
    <w:p w14:paraId="577613AA" w14:textId="77777777" w:rsidR="0016714D" w:rsidRDefault="0016714D" w:rsidP="00ED3C2F">
      <w:pPr>
        <w:pStyle w:val="ListParaNoIndent"/>
        <w:widowControl w:val="0"/>
        <w:numPr>
          <w:ilvl w:val="0"/>
          <w:numId w:val="18"/>
        </w:numPr>
        <w:spacing w:after="0"/>
      </w:pPr>
      <w:r>
        <w:t>The trial judge may not respond to a recusal motion, even where the allegations are “gratuitously defamatory.”</w:t>
      </w:r>
      <w:r>
        <w:rPr>
          <w:rStyle w:val="FootnoteReference"/>
        </w:rPr>
        <w:footnoteReference w:id="1"/>
      </w:r>
      <w:r>
        <w:t xml:space="preserve">  </w:t>
      </w:r>
    </w:p>
    <w:p w14:paraId="316D9F98" w14:textId="77777777" w:rsidR="0016714D" w:rsidRDefault="0016714D" w:rsidP="00ED3C2F">
      <w:pPr>
        <w:pStyle w:val="ListParaNoIndent"/>
        <w:widowControl w:val="0"/>
        <w:numPr>
          <w:ilvl w:val="1"/>
          <w:numId w:val="18"/>
        </w:numPr>
        <w:spacing w:after="0"/>
      </w:pPr>
      <w:r>
        <w:t>“The judge whose recusal is sought may not respond to the motion or attempt to refute the allegations, which ‘stand denied automatically’ no matter how false or even defamatory the judge might know or perceive the allegations to be.”</w:t>
      </w:r>
      <w:r>
        <w:rPr>
          <w:rStyle w:val="FootnoteReference"/>
        </w:rPr>
        <w:footnoteReference w:id="2"/>
      </w:r>
      <w:r>
        <w:t xml:space="preserve">  </w:t>
      </w:r>
    </w:p>
    <w:p w14:paraId="247E8233" w14:textId="67DD575E" w:rsidR="0016714D" w:rsidRDefault="0016714D" w:rsidP="00ED3C2F">
      <w:pPr>
        <w:pStyle w:val="ListParaNoIndent"/>
        <w:widowControl w:val="0"/>
        <w:numPr>
          <w:ilvl w:val="1"/>
          <w:numId w:val="18"/>
        </w:numPr>
        <w:spacing w:after="0"/>
      </w:pPr>
      <w:r>
        <w:t>Where the trial judge whose recusal is sought defends himself/herself or otherwise attempts to refute or clarify the allegations contained in the recusal motion, that act alone will result in recusal.</w:t>
      </w:r>
      <w:r>
        <w:rPr>
          <w:rStyle w:val="FootnoteReference"/>
        </w:rPr>
        <w:footnoteReference w:id="3"/>
      </w:r>
    </w:p>
    <w:p w14:paraId="753F9D32" w14:textId="255637F5" w:rsidR="0016714D" w:rsidRPr="0016714D" w:rsidRDefault="0016714D" w:rsidP="00ED3C2F">
      <w:pPr>
        <w:pStyle w:val="ListParaNoIndent"/>
        <w:widowControl w:val="0"/>
        <w:numPr>
          <w:ilvl w:val="1"/>
          <w:numId w:val="18"/>
        </w:numPr>
        <w:spacing w:after="0"/>
      </w:pPr>
      <w:r>
        <w:t>“</w:t>
      </w:r>
      <w:r w:rsidRPr="00A17E98">
        <w:t xml:space="preserve">A judge has no interest in sitting on a particular case; at most, his interest lies in protecting his own reputation. His efforts at defending himself against a motion to recuse will inevitably create an appearance of partiality. </w:t>
      </w:r>
      <w:r w:rsidRPr="00A17E98">
        <w:lastRenderedPageBreak/>
        <w:t>One reason is that if he defends himself he becomes an adversary of the movant for recusal. This adversarial posture may create an antipathy which persists after the motion to recuse is denied. We recognize that judges may be sorely tempted to respond to motions to recuse which they perceive as gratuitously defamatory. We also recognize that a judge who actively resists recusal may be fully capable of even-handedly presiding if the motion is denied. Nevertheless, we think that these factors are heavily outweighed by the necessity of preserving the public's confidence in the judicial system.</w:t>
      </w:r>
      <w:r>
        <w:t>”</w:t>
      </w:r>
      <w:r>
        <w:rPr>
          <w:rStyle w:val="FootnoteReference"/>
        </w:rPr>
        <w:footnoteReference w:id="4"/>
      </w:r>
    </w:p>
    <w:p w14:paraId="41E5D27E" w14:textId="73B97523" w:rsidR="00BF5F42" w:rsidRPr="00A276B0" w:rsidRDefault="00BF5F42" w:rsidP="00ED3C2F">
      <w:pPr>
        <w:pStyle w:val="ListParaNoIndent"/>
        <w:widowControl w:val="0"/>
        <w:numPr>
          <w:ilvl w:val="0"/>
          <w:numId w:val="18"/>
        </w:numPr>
        <w:spacing w:after="0"/>
        <w:rPr>
          <w:b/>
          <w:bCs/>
          <w:u w:val="single"/>
        </w:rPr>
      </w:pPr>
      <w:r>
        <w:t xml:space="preserve">Let’s look at the </w:t>
      </w:r>
      <w:r w:rsidRPr="0016714D">
        <w:rPr>
          <w:b/>
          <w:bCs/>
          <w:i/>
          <w:iCs/>
        </w:rPr>
        <w:t>proper</w:t>
      </w:r>
      <w:r>
        <w:t xml:space="preserve"> way for judges to respond to a recusal motion.</w:t>
      </w:r>
    </w:p>
    <w:p w14:paraId="530FAD6D" w14:textId="77777777" w:rsidR="00B74F71" w:rsidRPr="003752CC" w:rsidRDefault="003A7D0E" w:rsidP="00ED3C2F">
      <w:pPr>
        <w:pStyle w:val="ListParaNoIndent"/>
        <w:widowControl w:val="0"/>
        <w:spacing w:after="0"/>
        <w:rPr>
          <w:b/>
        </w:rPr>
      </w:pPr>
      <w:r>
        <w:pict w14:anchorId="45B8180C">
          <v:rect id="_x0000_i1026" style="width:468pt;height:1.5pt" o:hralign="center" o:hrstd="t" o:hrnoshade="t" o:hr="t" fillcolor="black [3213]" stroked="f"/>
        </w:pict>
      </w:r>
    </w:p>
    <w:p w14:paraId="2E37D22F" w14:textId="19398610" w:rsidR="00F70E70" w:rsidRDefault="00F96953" w:rsidP="00ED3C2F">
      <w:pPr>
        <w:pStyle w:val="ListParaNoIndent"/>
        <w:widowControl w:val="0"/>
        <w:spacing w:before="240" w:after="0"/>
        <w:jc w:val="center"/>
        <w:rPr>
          <w:b/>
          <w:u w:val="single"/>
        </w:rPr>
      </w:pPr>
      <w:r>
        <w:rPr>
          <w:b/>
          <w:u w:val="single"/>
        </w:rPr>
        <w:t xml:space="preserve">THE </w:t>
      </w:r>
      <w:r w:rsidR="00BF5F42">
        <w:rPr>
          <w:b/>
          <w:u w:val="single"/>
        </w:rPr>
        <w:t xml:space="preserve">CORRECT </w:t>
      </w:r>
      <w:r>
        <w:rPr>
          <w:b/>
          <w:u w:val="single"/>
        </w:rPr>
        <w:t>PROCESS</w:t>
      </w:r>
    </w:p>
    <w:p w14:paraId="59E1D945" w14:textId="77777777" w:rsidR="00872C28" w:rsidRDefault="00F96953" w:rsidP="00ED3C2F">
      <w:pPr>
        <w:pStyle w:val="ListParaNoIndent"/>
        <w:widowControl w:val="0"/>
        <w:numPr>
          <w:ilvl w:val="0"/>
          <w:numId w:val="18"/>
        </w:numPr>
        <w:spacing w:after="0"/>
      </w:pPr>
      <w:r>
        <w:t>When presented with a motion to disqualify or recuse</w:t>
      </w:r>
      <w:r>
        <w:rPr>
          <w:rStyle w:val="FootnoteReference"/>
        </w:rPr>
        <w:footnoteReference w:id="5"/>
      </w:r>
      <w:r>
        <w:t xml:space="preserve"> a trial judge, the judge must do the following: </w:t>
      </w:r>
    </w:p>
    <w:p w14:paraId="67AE58F5" w14:textId="51C6C9CA" w:rsidR="00872C28" w:rsidRDefault="00F96953" w:rsidP="00ED3C2F">
      <w:pPr>
        <w:pStyle w:val="ListParaNoIndent"/>
        <w:widowControl w:val="0"/>
        <w:numPr>
          <w:ilvl w:val="1"/>
          <w:numId w:val="18"/>
        </w:numPr>
        <w:spacing w:after="0"/>
      </w:pPr>
      <w:r>
        <w:t xml:space="preserve">When a motion to recuse is filed, the trial judge shall </w:t>
      </w:r>
      <w:r w:rsidR="003D3AE7">
        <w:t xml:space="preserve">temporarily cease to act upon the merits of the case and </w:t>
      </w:r>
      <w:r>
        <w:t xml:space="preserve">immediately determine: </w:t>
      </w:r>
    </w:p>
    <w:p w14:paraId="47968A30" w14:textId="77777777" w:rsidR="00872C28" w:rsidRDefault="00F96953" w:rsidP="00ED3C2F">
      <w:pPr>
        <w:pStyle w:val="ListParaNoIndent"/>
        <w:widowControl w:val="0"/>
        <w:numPr>
          <w:ilvl w:val="2"/>
          <w:numId w:val="18"/>
        </w:numPr>
        <w:spacing w:after="0"/>
      </w:pPr>
      <w:r>
        <w:t>The timeliness of the motion;</w:t>
      </w:r>
    </w:p>
    <w:p w14:paraId="625424DB" w14:textId="77777777" w:rsidR="00872C28" w:rsidRDefault="00F96953" w:rsidP="00ED3C2F">
      <w:pPr>
        <w:pStyle w:val="ListParaNoIndent"/>
        <w:widowControl w:val="0"/>
        <w:numPr>
          <w:ilvl w:val="2"/>
          <w:numId w:val="18"/>
        </w:numPr>
        <w:spacing w:after="0"/>
      </w:pPr>
      <w:r>
        <w:lastRenderedPageBreak/>
        <w:t xml:space="preserve">The legal sufficiency of the affidavit; and </w:t>
      </w:r>
    </w:p>
    <w:p w14:paraId="25170309" w14:textId="77777777" w:rsidR="00872C28" w:rsidRDefault="00F96953" w:rsidP="00ED3C2F">
      <w:pPr>
        <w:pStyle w:val="ListParaNoIndent"/>
        <w:widowControl w:val="0"/>
        <w:numPr>
          <w:ilvl w:val="2"/>
          <w:numId w:val="18"/>
        </w:numPr>
        <w:spacing w:after="0"/>
      </w:pPr>
      <w:r>
        <w:t>The legal sufficiency of the grounds</w:t>
      </w:r>
    </w:p>
    <w:p w14:paraId="0EB7C4E9" w14:textId="636E5E51" w:rsidR="00F96953" w:rsidRDefault="00872C28" w:rsidP="00ED3C2F">
      <w:pPr>
        <w:pStyle w:val="ListParaNoIndent"/>
        <w:widowControl w:val="0"/>
        <w:numPr>
          <w:ilvl w:val="1"/>
          <w:numId w:val="18"/>
        </w:numPr>
        <w:spacing w:after="0"/>
      </w:pPr>
      <w:r>
        <w:t>THE JUDGE HAS NO POWER TO DO ANYTHING ELSE IN THE CASE</w:t>
      </w:r>
      <w:r w:rsidR="00F96953">
        <w:t>.”</w:t>
      </w:r>
      <w:r w:rsidR="00F96953">
        <w:rPr>
          <w:rStyle w:val="FootnoteReference"/>
        </w:rPr>
        <w:footnoteReference w:id="6"/>
      </w:r>
    </w:p>
    <w:p w14:paraId="12E9D0B1" w14:textId="67BE62B8" w:rsidR="00E73224" w:rsidRPr="005B296F" w:rsidRDefault="00F96953" w:rsidP="00ED3C2F">
      <w:pPr>
        <w:pStyle w:val="ListParaNoIndent"/>
        <w:widowControl w:val="0"/>
        <w:numPr>
          <w:ilvl w:val="0"/>
          <w:numId w:val="18"/>
        </w:numPr>
        <w:spacing w:after="0"/>
        <w:rPr>
          <w:b/>
          <w:u w:val="single"/>
        </w:rPr>
      </w:pPr>
      <w:r>
        <w:t>After receiving the written motion to recuse that is filed with the court, the trial judge must immediately cease taking any further action on the underlying case and evaluate the motion under the three grounds set forth above.</w:t>
      </w:r>
      <w:r>
        <w:rPr>
          <w:rStyle w:val="FootnoteReference"/>
        </w:rPr>
        <w:footnoteReference w:id="7"/>
      </w:r>
    </w:p>
    <w:p w14:paraId="28F84226" w14:textId="344F9C4F" w:rsidR="002412BC" w:rsidRPr="00ED3C2F" w:rsidRDefault="005B296F" w:rsidP="000C70FB">
      <w:pPr>
        <w:pStyle w:val="ListParaNoIndent"/>
        <w:widowControl w:val="0"/>
        <w:numPr>
          <w:ilvl w:val="0"/>
          <w:numId w:val="18"/>
        </w:numPr>
        <w:pBdr>
          <w:bottom w:val="single" w:sz="4" w:space="1" w:color="auto"/>
        </w:pBdr>
        <w:spacing w:after="0"/>
        <w:rPr>
          <w:b/>
          <w:u w:val="single"/>
        </w:rPr>
      </w:pPr>
      <w:r>
        <w:t>If all 3 criteria are met, another judge shall be assigned to hear the motion to recuse.</w:t>
      </w:r>
      <w:r>
        <w:rPr>
          <w:rStyle w:val="FootnoteReference"/>
        </w:rPr>
        <w:footnoteReference w:id="8"/>
      </w:r>
    </w:p>
    <w:p w14:paraId="67F8EAE1" w14:textId="00745483" w:rsidR="002C4C10" w:rsidRDefault="00872C28" w:rsidP="00ED3C2F">
      <w:pPr>
        <w:pStyle w:val="ListParaNoIndent"/>
        <w:widowControl w:val="0"/>
        <w:spacing w:before="240" w:after="0"/>
        <w:jc w:val="center"/>
        <w:rPr>
          <w:b/>
          <w:u w:val="single"/>
        </w:rPr>
      </w:pPr>
      <w:r>
        <w:rPr>
          <w:b/>
          <w:u w:val="single"/>
        </w:rPr>
        <w:t>TIMELINESS OF MOTION</w:t>
      </w:r>
    </w:p>
    <w:p w14:paraId="47939D9D" w14:textId="77777777" w:rsidR="00671120" w:rsidRDefault="00872C28" w:rsidP="00ED3C2F">
      <w:pPr>
        <w:pStyle w:val="ListParaNoIndent"/>
        <w:widowControl w:val="0"/>
        <w:numPr>
          <w:ilvl w:val="0"/>
          <w:numId w:val="18"/>
        </w:numPr>
        <w:spacing w:after="0"/>
      </w:pPr>
      <w:r>
        <w:t xml:space="preserve">Pursuant to USCR 25.1, all motions to recuse or disqualify a judge must be made in writing and must be accompanied by an affidavit. </w:t>
      </w:r>
    </w:p>
    <w:p w14:paraId="32D5C618" w14:textId="05127664" w:rsidR="00872C28" w:rsidRDefault="00671120" w:rsidP="00ED3C2F">
      <w:pPr>
        <w:pStyle w:val="ListParaNoIndent"/>
        <w:widowControl w:val="0"/>
        <w:numPr>
          <w:ilvl w:val="0"/>
          <w:numId w:val="18"/>
        </w:numPr>
        <w:spacing w:after="0"/>
      </w:pPr>
      <w:r>
        <w:t xml:space="preserve">It is important to stress that the party who becomes aware of an issue that could lead to the recusal or disqualification of a trial judge must raise the issue promptly upon learning of the issue.  “To hold otherwise would promote </w:t>
      </w:r>
      <w:r>
        <w:lastRenderedPageBreak/>
        <w:t>gamesmanship.”</w:t>
      </w:r>
      <w:r>
        <w:rPr>
          <w:rStyle w:val="FootnoteReference"/>
        </w:rPr>
        <w:footnoteReference w:id="9"/>
      </w:r>
      <w:r>
        <w:t xml:space="preserve"> The defendant may not become aware of an issue that could require disqualification, take his chances with that judge and then later raise the disqualification issue.</w:t>
      </w:r>
      <w:r>
        <w:rPr>
          <w:rStyle w:val="FootnoteReference"/>
        </w:rPr>
        <w:footnoteReference w:id="10"/>
      </w:r>
      <w:r>
        <w:t xml:space="preserve"> </w:t>
      </w:r>
      <w:r w:rsidR="00872C28">
        <w:t xml:space="preserve"> </w:t>
      </w:r>
    </w:p>
    <w:p w14:paraId="53242195" w14:textId="77777777" w:rsidR="00872C28" w:rsidRDefault="00872C28" w:rsidP="00ED3C2F">
      <w:pPr>
        <w:pStyle w:val="ListParaNoIndent"/>
        <w:widowControl w:val="0"/>
        <w:numPr>
          <w:ilvl w:val="0"/>
          <w:numId w:val="18"/>
        </w:numPr>
        <w:spacing w:after="0"/>
      </w:pPr>
      <w:r>
        <w:t>All s</w:t>
      </w:r>
      <w:r>
        <w:t xml:space="preserve">uch motions must be filed with five (5) days after the affiant first learned of the alleged grounds for disqualification, and not less than ten (10) days prior to any trial or hearing unless good cause can be shown for failure to meet the time requirements.  </w:t>
      </w:r>
    </w:p>
    <w:p w14:paraId="1DA79493" w14:textId="44DAA150" w:rsidR="00872C28" w:rsidRDefault="00872C28" w:rsidP="00ED3C2F">
      <w:pPr>
        <w:pStyle w:val="ListParaNoIndent"/>
        <w:widowControl w:val="0"/>
        <w:numPr>
          <w:ilvl w:val="0"/>
          <w:numId w:val="18"/>
        </w:numPr>
        <w:spacing w:after="0"/>
      </w:pPr>
      <w:r>
        <w:t>Failure to timely file a motion to recuse the trial judge may result in the recusal motion to be denied.</w:t>
      </w:r>
      <w:r>
        <w:rPr>
          <w:rStyle w:val="FootnoteReference"/>
        </w:rPr>
        <w:footnoteReference w:id="11"/>
      </w:r>
      <w:r>
        <w:t xml:space="preserve"> However, it should be noted that if “good cause” is shown to justify the delay in filing the motion, the court may allow a late filed motion and affidavit.</w:t>
      </w:r>
      <w:r>
        <w:rPr>
          <w:rStyle w:val="FootnoteReference"/>
        </w:rPr>
        <w:footnoteReference w:id="12"/>
      </w:r>
    </w:p>
    <w:p w14:paraId="126B618B" w14:textId="5DE5D0B2" w:rsidR="00872C28" w:rsidRDefault="00872C28" w:rsidP="00ED3C2F">
      <w:pPr>
        <w:pStyle w:val="ListParaNoIndent"/>
        <w:widowControl w:val="0"/>
        <w:spacing w:after="0"/>
      </w:pPr>
      <w:r>
        <w:pict w14:anchorId="5A616822">
          <v:rect id="_x0000_i1049" style="width:468pt;height:1.5pt" o:hralign="center" o:hrstd="t" o:hrnoshade="t" o:hr="t" fillcolor="black [3213]" stroked="f"/>
        </w:pict>
      </w:r>
    </w:p>
    <w:p w14:paraId="70244004" w14:textId="77777777" w:rsidR="001E1101" w:rsidRDefault="00872C28" w:rsidP="00ED3C2F">
      <w:pPr>
        <w:pStyle w:val="ListParaNoIndent"/>
        <w:widowControl w:val="0"/>
        <w:spacing w:after="0"/>
        <w:jc w:val="center"/>
        <w:rPr>
          <w:b/>
          <w:u w:val="single"/>
        </w:rPr>
      </w:pPr>
      <w:r w:rsidRPr="00872C28">
        <w:rPr>
          <w:b/>
          <w:u w:val="single"/>
        </w:rPr>
        <w:t>LEGAL SUFFICIENCY OF AFFIDAVIT</w:t>
      </w:r>
      <w:r w:rsidR="001E1101">
        <w:rPr>
          <w:b/>
          <w:u w:val="single"/>
        </w:rPr>
        <w:t xml:space="preserve"> </w:t>
      </w:r>
    </w:p>
    <w:p w14:paraId="54842EB4" w14:textId="14FAAF50" w:rsidR="00872C28" w:rsidRDefault="001E1101" w:rsidP="00ED3C2F">
      <w:pPr>
        <w:pStyle w:val="ListParaNoIndent"/>
        <w:widowControl w:val="0"/>
        <w:spacing w:after="0"/>
        <w:jc w:val="center"/>
        <w:rPr>
          <w:b/>
          <w:u w:val="single"/>
        </w:rPr>
      </w:pPr>
      <w:r>
        <w:rPr>
          <w:b/>
          <w:u w:val="single"/>
        </w:rPr>
        <w:t>(FORM AND NOT SUBSTANCE)</w:t>
      </w:r>
    </w:p>
    <w:p w14:paraId="03F4D0E2" w14:textId="77777777" w:rsidR="001E1101" w:rsidRDefault="001E1101" w:rsidP="00ED3C2F">
      <w:pPr>
        <w:pStyle w:val="ListParaNoIndent"/>
        <w:widowControl w:val="0"/>
        <w:numPr>
          <w:ilvl w:val="0"/>
          <w:numId w:val="18"/>
        </w:numPr>
        <w:spacing w:after="0"/>
      </w:pPr>
      <w:r>
        <w:t xml:space="preserve">The affidavit must set forth specific reasons for the belief that bias or prejudice </w:t>
      </w:r>
      <w:r>
        <w:lastRenderedPageBreak/>
        <w:t>exists and must be more than mere conclusions and opinions.</w:t>
      </w:r>
      <w:r>
        <w:rPr>
          <w:rStyle w:val="FootnoteReference"/>
        </w:rPr>
        <w:footnoteReference w:id="13"/>
      </w:r>
      <w:r>
        <w:t xml:space="preserve">  </w:t>
      </w:r>
    </w:p>
    <w:p w14:paraId="6C276A46" w14:textId="77777777" w:rsidR="001E1101" w:rsidRDefault="001E1101" w:rsidP="00ED3C2F">
      <w:pPr>
        <w:pStyle w:val="ListParaNoIndent"/>
        <w:widowControl w:val="0"/>
        <w:numPr>
          <w:ilvl w:val="0"/>
          <w:numId w:val="18"/>
        </w:numPr>
        <w:spacing w:after="0"/>
      </w:pPr>
      <w:r>
        <w:t>There is no doubt that an affidavit is required which sets forth facts in support of the motion to recuse</w:t>
      </w:r>
      <w:r w:rsidRPr="00746EA4">
        <w:t>.</w:t>
      </w:r>
      <w:r>
        <w:rPr>
          <w:rStyle w:val="FootnoteReference"/>
        </w:rPr>
        <w:footnoteReference w:id="14"/>
      </w:r>
      <w:r w:rsidRPr="00746EA4">
        <w:t xml:space="preserve"> </w:t>
      </w:r>
    </w:p>
    <w:p w14:paraId="0675FDF3" w14:textId="77777777" w:rsidR="001E1101" w:rsidRPr="001E1101" w:rsidRDefault="001E1101" w:rsidP="00ED3C2F">
      <w:pPr>
        <w:pStyle w:val="ListParaNoIndent"/>
        <w:widowControl w:val="0"/>
        <w:numPr>
          <w:ilvl w:val="0"/>
          <w:numId w:val="18"/>
        </w:numPr>
        <w:spacing w:after="0"/>
      </w:pPr>
      <w:r>
        <w:t>“</w:t>
      </w:r>
      <w:r w:rsidRPr="00746EA4">
        <w:t>To be legally sufficient, an affidavit accompanying a recusal </w:t>
      </w:r>
      <w:r>
        <w:t>motion must contain ‘</w:t>
      </w:r>
      <w:r w:rsidRPr="00746EA4">
        <w:t>the three elements essential to a complete affidavit: ‘(a) a written oath embodying the facts as sworn by the affiant; (b) the signature of the affiant; and (c) the attestation by an officer authorized to administer the oath that the affidavit was actually sworn by the affiant before the officer.</w:t>
      </w:r>
      <w:r>
        <w:rPr>
          <w:rFonts w:ascii="Arial" w:hAnsi="Arial" w:cs="Arial"/>
          <w:color w:val="212121"/>
          <w:sz w:val="21"/>
          <w:szCs w:val="21"/>
        </w:rPr>
        <w:t>’”</w:t>
      </w:r>
      <w:r>
        <w:rPr>
          <w:rStyle w:val="FootnoteReference"/>
          <w:rFonts w:ascii="Arial" w:hAnsi="Arial" w:cs="Arial"/>
          <w:color w:val="212121"/>
          <w:sz w:val="21"/>
          <w:szCs w:val="21"/>
        </w:rPr>
        <w:footnoteReference w:id="15"/>
      </w:r>
      <w:r>
        <w:rPr>
          <w:rFonts w:ascii="Arial" w:hAnsi="Arial" w:cs="Arial"/>
          <w:color w:val="212121"/>
          <w:sz w:val="21"/>
          <w:szCs w:val="21"/>
        </w:rPr>
        <w:t xml:space="preserve">  </w:t>
      </w:r>
    </w:p>
    <w:p w14:paraId="270C1EF6" w14:textId="789A41D1" w:rsidR="00872C28" w:rsidRDefault="001E1101" w:rsidP="00ED3C2F">
      <w:pPr>
        <w:pStyle w:val="ListParaNoIndent"/>
        <w:widowControl w:val="0"/>
        <w:numPr>
          <w:ilvl w:val="0"/>
          <w:numId w:val="18"/>
        </w:numPr>
        <w:spacing w:after="0"/>
      </w:pPr>
      <w:r>
        <w:t>However, the form of the affidavit does not control and where there is “substantial compliance” with the elements normally associated with an affidavit, the affidavit should be considered sufficient as to form.</w:t>
      </w:r>
      <w:r>
        <w:rPr>
          <w:rStyle w:val="FootnoteReference"/>
        </w:rPr>
        <w:footnoteReference w:id="16"/>
      </w:r>
    </w:p>
    <w:p w14:paraId="50DBD833" w14:textId="0769EA92" w:rsidR="001E1101" w:rsidRDefault="001E1101" w:rsidP="00ED3C2F">
      <w:pPr>
        <w:pStyle w:val="ListParaNoIndent"/>
        <w:widowControl w:val="0"/>
        <w:spacing w:after="0"/>
      </w:pPr>
      <w:r>
        <w:pict w14:anchorId="3BB16F18">
          <v:rect id="_x0000_i1051" style="width:468pt;height:1.5pt" o:hralign="center" o:hrstd="t" o:hrnoshade="t" o:hr="t" fillcolor="black [3213]" stroked="f"/>
        </w:pict>
      </w:r>
    </w:p>
    <w:p w14:paraId="0C863DBA" w14:textId="77777777" w:rsidR="001E1101" w:rsidRDefault="001E1101" w:rsidP="00ED3C2F">
      <w:pPr>
        <w:pStyle w:val="ListParaNoIndent"/>
        <w:widowControl w:val="0"/>
        <w:spacing w:after="0"/>
        <w:jc w:val="center"/>
        <w:rPr>
          <w:b/>
          <w:u w:val="single"/>
        </w:rPr>
      </w:pPr>
      <w:r w:rsidRPr="001E1101">
        <w:rPr>
          <w:b/>
          <w:u w:val="single"/>
        </w:rPr>
        <w:t>LEGAL SUFFICIENCY OF GROUNDS FOR RECUSAL</w:t>
      </w:r>
      <w:r>
        <w:rPr>
          <w:b/>
          <w:u w:val="single"/>
        </w:rPr>
        <w:t xml:space="preserve"> </w:t>
      </w:r>
    </w:p>
    <w:p w14:paraId="0558A2CF" w14:textId="6FE05769" w:rsidR="001E1101" w:rsidRDefault="001E1101" w:rsidP="00ED3C2F">
      <w:pPr>
        <w:pStyle w:val="ListParaNoIndent"/>
        <w:widowControl w:val="0"/>
        <w:spacing w:after="0"/>
        <w:jc w:val="center"/>
        <w:rPr>
          <w:b/>
          <w:u w:val="single"/>
        </w:rPr>
      </w:pPr>
      <w:r>
        <w:rPr>
          <w:b/>
          <w:u w:val="single"/>
        </w:rPr>
        <w:t>(SUBSTANCE AND NOT FORM)</w:t>
      </w:r>
    </w:p>
    <w:p w14:paraId="7F330570" w14:textId="77777777" w:rsidR="001E1101" w:rsidRDefault="001E1101" w:rsidP="00ED3C2F">
      <w:pPr>
        <w:pStyle w:val="ListParaNoIndent"/>
        <w:widowControl w:val="0"/>
        <w:numPr>
          <w:ilvl w:val="0"/>
          <w:numId w:val="18"/>
        </w:numPr>
        <w:spacing w:after="0"/>
      </w:pPr>
      <w:r>
        <w:t xml:space="preserve">The trial court that is presented with a recusal motion must assume that all of </w:t>
      </w:r>
      <w:r>
        <w:lastRenderedPageBreak/>
        <w:t>the facts contained within the affidavit are true.</w:t>
      </w:r>
      <w:r>
        <w:rPr>
          <w:rStyle w:val="FootnoteReference"/>
        </w:rPr>
        <w:footnoteReference w:id="17"/>
      </w:r>
      <w:r>
        <w:t xml:space="preserve">  </w:t>
      </w:r>
    </w:p>
    <w:p w14:paraId="221AD810" w14:textId="77777777" w:rsidR="001E1101" w:rsidRDefault="001E1101" w:rsidP="00ED3C2F">
      <w:pPr>
        <w:pStyle w:val="ListParaNoIndent"/>
        <w:widowControl w:val="0"/>
        <w:numPr>
          <w:ilvl w:val="0"/>
          <w:numId w:val="18"/>
        </w:numPr>
        <w:spacing w:after="0"/>
      </w:pPr>
      <w:r>
        <w:t>If, assuming some or all the facts within the timely affidavit are true, the trial judge finds that the affidavit would support a finding that he/she should be disqualified, the trial judge must take steps to have another judge assigned to hear the matter.</w:t>
      </w:r>
      <w:r>
        <w:rPr>
          <w:rStyle w:val="FootnoteReference"/>
        </w:rPr>
        <w:footnoteReference w:id="18"/>
      </w:r>
      <w:r>
        <w:t xml:space="preserve">  </w:t>
      </w:r>
    </w:p>
    <w:p w14:paraId="6F4E249C" w14:textId="77777777" w:rsidR="001E1101" w:rsidRDefault="001E1101" w:rsidP="00ED3C2F">
      <w:pPr>
        <w:pStyle w:val="ListParaNoIndent"/>
        <w:widowControl w:val="0"/>
        <w:numPr>
          <w:ilvl w:val="0"/>
          <w:numId w:val="18"/>
        </w:numPr>
        <w:spacing w:after="0"/>
      </w:pPr>
      <w:r>
        <w:t>There is no requirement that the trial judge conduct an evidentiary hearing to determine the sufficiency of the motion and accompanying affidavit.  That initial determination is a matter of law for the trial judge to decide.</w:t>
      </w:r>
      <w:r>
        <w:rPr>
          <w:rStyle w:val="FootnoteReference"/>
        </w:rPr>
        <w:footnoteReference w:id="19"/>
      </w:r>
      <w:r>
        <w:t xml:space="preserve">  </w:t>
      </w:r>
    </w:p>
    <w:p w14:paraId="4E1ACC8E" w14:textId="77777777" w:rsidR="001E1101" w:rsidRDefault="001E1101" w:rsidP="00ED3C2F">
      <w:pPr>
        <w:pStyle w:val="ListParaNoIndent"/>
        <w:widowControl w:val="0"/>
        <w:numPr>
          <w:ilvl w:val="0"/>
          <w:numId w:val="18"/>
        </w:numPr>
        <w:spacing w:after="0"/>
      </w:pPr>
      <w:r>
        <w:t>If any one of the conditions is not met, the trial court may deny the motion.</w:t>
      </w:r>
      <w:r>
        <w:rPr>
          <w:rStyle w:val="FootnoteReference"/>
        </w:rPr>
        <w:footnoteReference w:id="20"/>
      </w:r>
      <w:r>
        <w:t xml:space="preserve">  </w:t>
      </w:r>
    </w:p>
    <w:p w14:paraId="553AC559" w14:textId="77777777" w:rsidR="001E1101" w:rsidRDefault="001E1101" w:rsidP="00ED3C2F">
      <w:pPr>
        <w:pStyle w:val="ListParaNoIndent"/>
        <w:widowControl w:val="0"/>
        <w:numPr>
          <w:ilvl w:val="0"/>
          <w:numId w:val="18"/>
        </w:numPr>
        <w:spacing w:after="0"/>
      </w:pPr>
      <w:r>
        <w:t>However, the trial judge is not allowed to make any discretionary determination on the matter and must arrange to have the matter heard by another judge if the three conditions listed above are met.</w:t>
      </w:r>
      <w:r>
        <w:rPr>
          <w:rStyle w:val="FootnoteReference"/>
        </w:rPr>
        <w:footnoteReference w:id="21"/>
      </w:r>
      <w:r>
        <w:t xml:space="preserve">  </w:t>
      </w:r>
    </w:p>
    <w:p w14:paraId="776A8A0B" w14:textId="2FD4A153" w:rsidR="001E1101" w:rsidRDefault="001E1101" w:rsidP="00ED3C2F">
      <w:pPr>
        <w:pStyle w:val="ListParaNoIndent"/>
        <w:widowControl w:val="0"/>
        <w:numPr>
          <w:ilvl w:val="0"/>
          <w:numId w:val="18"/>
        </w:numPr>
        <w:spacing w:after="0"/>
      </w:pPr>
      <w:r>
        <w:t xml:space="preserve">The trial judge is not allowed to make a determination as to whether the facts contained in the motion are true and is also not allowed to make any </w:t>
      </w:r>
      <w:r>
        <w:lastRenderedPageBreak/>
        <w:t>determination as to the motivation of the pleader, regardless of the trial judge’s personal knowledge to the contrary.</w:t>
      </w:r>
      <w:r>
        <w:rPr>
          <w:rStyle w:val="FootnoteReference"/>
        </w:rPr>
        <w:footnoteReference w:id="22"/>
      </w:r>
    </w:p>
    <w:p w14:paraId="0B3DA6ED" w14:textId="24F79DFC" w:rsidR="00671120" w:rsidRDefault="00671120" w:rsidP="00ED3C2F">
      <w:pPr>
        <w:pStyle w:val="ListParaNoIndent"/>
        <w:widowControl w:val="0"/>
        <w:spacing w:after="0"/>
      </w:pPr>
      <w:r>
        <w:pict w14:anchorId="3F5F7339">
          <v:rect id="_x0000_i1053" style="width:468pt;height:1.5pt" o:hralign="center" o:hrstd="t" o:hrnoshade="t" o:hr="t" fillcolor="black [3213]" stroked="f"/>
        </w:pict>
      </w:r>
    </w:p>
    <w:p w14:paraId="4A748AAA" w14:textId="5DD4296F" w:rsidR="003606D7" w:rsidRDefault="003606D7" w:rsidP="00ED3C2F">
      <w:pPr>
        <w:pStyle w:val="ListParaNoIndent"/>
        <w:widowControl w:val="0"/>
        <w:spacing w:after="0"/>
        <w:jc w:val="center"/>
        <w:rPr>
          <w:b/>
          <w:bCs/>
          <w:u w:val="single"/>
        </w:rPr>
      </w:pPr>
      <w:r>
        <w:rPr>
          <w:b/>
          <w:bCs/>
          <w:u w:val="single"/>
        </w:rPr>
        <w:t>ANY ALLEGED BIAS MUST COME FROM EXTRA-JUDICIAL SOURCE</w:t>
      </w:r>
    </w:p>
    <w:p w14:paraId="7AC7BA11" w14:textId="77777777" w:rsidR="003606D7" w:rsidRPr="003606D7" w:rsidRDefault="003606D7" w:rsidP="00ED3C2F">
      <w:pPr>
        <w:pStyle w:val="ListParaNoIndent"/>
        <w:widowControl w:val="0"/>
        <w:numPr>
          <w:ilvl w:val="0"/>
          <w:numId w:val="18"/>
        </w:numPr>
        <w:spacing w:after="0"/>
        <w:rPr>
          <w:b/>
          <w:bCs/>
          <w:u w:val="single"/>
        </w:rPr>
      </w:pPr>
      <w:r>
        <w:t xml:space="preserve">The prohibited bias that would support a motion to recuse must be from an extra-judicial source.  </w:t>
      </w:r>
    </w:p>
    <w:p w14:paraId="60F1124B" w14:textId="77777777" w:rsidR="003606D7" w:rsidRPr="003606D7" w:rsidRDefault="003606D7" w:rsidP="00ED3C2F">
      <w:pPr>
        <w:pStyle w:val="ListParaNoIndent"/>
        <w:widowControl w:val="0"/>
        <w:numPr>
          <w:ilvl w:val="1"/>
          <w:numId w:val="18"/>
        </w:numPr>
        <w:spacing w:after="0"/>
        <w:rPr>
          <w:b/>
          <w:bCs/>
          <w:u w:val="single"/>
        </w:rPr>
      </w:pPr>
      <w:r>
        <w:t xml:space="preserve">A judicial ruling adverse to a party is not disqualifying.  </w:t>
      </w:r>
    </w:p>
    <w:p w14:paraId="2F467369" w14:textId="5B3A26D8" w:rsidR="003606D7" w:rsidRPr="003606D7" w:rsidRDefault="003606D7" w:rsidP="00ED3C2F">
      <w:pPr>
        <w:pStyle w:val="ListParaNoIndent"/>
        <w:widowControl w:val="0"/>
        <w:numPr>
          <w:ilvl w:val="0"/>
          <w:numId w:val="18"/>
        </w:numPr>
        <w:spacing w:after="0"/>
        <w:rPr>
          <w:b/>
          <w:bCs/>
          <w:u w:val="single"/>
        </w:rPr>
      </w:pPr>
      <w:r>
        <w:t>Bias that would support disqualification “must stem from an extra-judicial source and result in an opinion on the merits on some basis other than what the judge learned from his participation in the case.”</w:t>
      </w:r>
      <w:r>
        <w:rPr>
          <w:rStyle w:val="FootnoteReference"/>
        </w:rPr>
        <w:footnoteReference w:id="23"/>
      </w:r>
    </w:p>
    <w:p w14:paraId="1B5A3C10" w14:textId="1998BF14" w:rsidR="003606D7" w:rsidRDefault="003606D7" w:rsidP="00ED3C2F">
      <w:pPr>
        <w:pStyle w:val="ListParaNoIndent"/>
        <w:widowControl w:val="0"/>
        <w:spacing w:after="0"/>
      </w:pPr>
      <w:r>
        <w:pict w14:anchorId="4A14C364">
          <v:rect id="_x0000_i1058" style="width:468pt;height:1.5pt" o:hralign="center" o:hrstd="t" o:hrnoshade="t" o:hr="t" fillcolor="black [3213]" stroked="f"/>
        </w:pict>
      </w:r>
    </w:p>
    <w:p w14:paraId="1179E8E6" w14:textId="77777777" w:rsidR="00671120" w:rsidRPr="006145F2" w:rsidRDefault="00671120" w:rsidP="00ED3C2F">
      <w:pPr>
        <w:pStyle w:val="ListParaNoIndent"/>
        <w:widowControl w:val="0"/>
        <w:spacing w:after="0"/>
        <w:jc w:val="center"/>
      </w:pPr>
      <w:r>
        <w:rPr>
          <w:b/>
          <w:u w:val="single"/>
        </w:rPr>
        <w:t>HEARING BY ANOTHER JUDGE</w:t>
      </w:r>
    </w:p>
    <w:p w14:paraId="3BB8E718" w14:textId="77777777" w:rsidR="00671120" w:rsidRDefault="00671120" w:rsidP="00ED3C2F">
      <w:pPr>
        <w:pStyle w:val="ListParaNoIndent"/>
        <w:widowControl w:val="0"/>
        <w:numPr>
          <w:ilvl w:val="0"/>
          <w:numId w:val="18"/>
        </w:numPr>
        <w:spacing w:after="0"/>
      </w:pPr>
      <w:r>
        <w:t>Once the trial judge determines that the three criteria set forth above are met, the trial judge must make arrangements to have the case heard by another judge.</w:t>
      </w:r>
      <w:r>
        <w:rPr>
          <w:rStyle w:val="FootnoteReference"/>
        </w:rPr>
        <w:footnoteReference w:id="24"/>
      </w:r>
      <w:r>
        <w:t xml:space="preserve">  </w:t>
      </w:r>
    </w:p>
    <w:p w14:paraId="217DC016" w14:textId="77777777" w:rsidR="00671120" w:rsidRDefault="00671120" w:rsidP="00ED3C2F">
      <w:pPr>
        <w:pStyle w:val="ListParaNoIndent"/>
        <w:widowControl w:val="0"/>
        <w:numPr>
          <w:ilvl w:val="0"/>
          <w:numId w:val="18"/>
        </w:numPr>
        <w:spacing w:after="0"/>
      </w:pPr>
      <w:r>
        <w:t xml:space="preserve">The judge hearing the motion to disqualify/recuse (“Hearing Judge”) may </w:t>
      </w:r>
      <w:r>
        <w:lastRenderedPageBreak/>
        <w:t>decide the case on the affidavit or, in his/her discretion, may elect to hear evidence on the motion.</w:t>
      </w:r>
      <w:r>
        <w:rPr>
          <w:rStyle w:val="FootnoteReference"/>
        </w:rPr>
        <w:footnoteReference w:id="25"/>
      </w:r>
      <w:r>
        <w:t xml:space="preserve"> </w:t>
      </w:r>
    </w:p>
    <w:p w14:paraId="376E74C7" w14:textId="77777777" w:rsidR="00671120" w:rsidRDefault="00671120" w:rsidP="00ED3C2F">
      <w:pPr>
        <w:pStyle w:val="ListParaNoIndent"/>
        <w:widowControl w:val="0"/>
        <w:numPr>
          <w:ilvl w:val="0"/>
          <w:numId w:val="18"/>
        </w:numPr>
        <w:spacing w:after="0"/>
      </w:pPr>
      <w:r>
        <w:t xml:space="preserve"> The Hearing Judge shall make written findings and conclusions and, if the motion is sustained, another judge shall be assigned to hear the underlying case.</w:t>
      </w:r>
      <w:r>
        <w:rPr>
          <w:rStyle w:val="FootnoteReference"/>
        </w:rPr>
        <w:footnoteReference w:id="26"/>
      </w:r>
      <w:r>
        <w:t xml:space="preserve">  </w:t>
      </w:r>
    </w:p>
    <w:p w14:paraId="001A35D6" w14:textId="3A58CAF1" w:rsidR="001E1101" w:rsidRDefault="00671120" w:rsidP="00ED3C2F">
      <w:pPr>
        <w:pStyle w:val="ListParaNoIndent"/>
        <w:widowControl w:val="0"/>
        <w:numPr>
          <w:ilvl w:val="0"/>
          <w:numId w:val="18"/>
        </w:numPr>
        <w:spacing w:after="0"/>
      </w:pPr>
      <w:r>
        <w:t>The trial judge always has the right to voluntarily recuse himself/herself upon the motion of any of the parties or on the court’s own motion.</w:t>
      </w:r>
      <w:r>
        <w:rPr>
          <w:rStyle w:val="FootnoteReference"/>
        </w:rPr>
        <w:footnoteReference w:id="27"/>
      </w:r>
    </w:p>
    <w:p w14:paraId="7B6E429C" w14:textId="1D2ED4C6" w:rsidR="00671120" w:rsidRDefault="00671120" w:rsidP="00ED3C2F">
      <w:pPr>
        <w:pStyle w:val="ListParaNoIndent"/>
        <w:widowControl w:val="0"/>
        <w:spacing w:after="0"/>
      </w:pPr>
      <w:r>
        <w:pict w14:anchorId="219CF34F">
          <v:rect id="_x0000_i1054" style="width:468pt;height:1.5pt" o:hralign="center" o:hrstd="t" o:hrnoshade="t" o:hr="t" fillcolor="black [3213]" stroked="f"/>
        </w:pict>
      </w:r>
    </w:p>
    <w:p w14:paraId="6C8EB8EA" w14:textId="2EDB52CD" w:rsidR="00671120" w:rsidRDefault="00671120" w:rsidP="00ED3C2F">
      <w:pPr>
        <w:pStyle w:val="ListParaNoIndent"/>
        <w:widowControl w:val="0"/>
        <w:spacing w:after="0"/>
        <w:jc w:val="center"/>
        <w:rPr>
          <w:b/>
          <w:bCs/>
          <w:u w:val="single"/>
        </w:rPr>
      </w:pPr>
      <w:r>
        <w:rPr>
          <w:b/>
          <w:bCs/>
          <w:u w:val="single"/>
        </w:rPr>
        <w:t>JUDGE CAN ALWAYS VOLUNTARILY RECUSE</w:t>
      </w:r>
    </w:p>
    <w:p w14:paraId="218F4040" w14:textId="77777777" w:rsidR="0016714D" w:rsidRDefault="00671120" w:rsidP="00ED3C2F">
      <w:pPr>
        <w:pStyle w:val="ListParaNoIndent"/>
        <w:widowControl w:val="0"/>
        <w:numPr>
          <w:ilvl w:val="0"/>
          <w:numId w:val="18"/>
        </w:numPr>
        <w:spacing w:after="0"/>
      </w:pPr>
      <w:r>
        <w:t>T</w:t>
      </w:r>
      <w:r>
        <w:t xml:space="preserve">he trial judge may have a duty to disqualify themselves </w:t>
      </w:r>
      <w:r>
        <w:rPr>
          <w:i/>
        </w:rPr>
        <w:t>sua sponte</w:t>
      </w:r>
      <w:r>
        <w:t xml:space="preserve"> under the judge’s ethical duties where facts are uncovered that suggest recusal would be appropriate.</w:t>
      </w:r>
      <w:r>
        <w:rPr>
          <w:rStyle w:val="FootnoteReference"/>
        </w:rPr>
        <w:footnoteReference w:id="28"/>
      </w:r>
      <w:r>
        <w:t xml:space="preserve">  </w:t>
      </w:r>
    </w:p>
    <w:p w14:paraId="4FDECD83" w14:textId="0EEE9E51" w:rsidR="00671120" w:rsidRDefault="00671120" w:rsidP="00ED3C2F">
      <w:pPr>
        <w:pStyle w:val="ListParaNoIndent"/>
        <w:widowControl w:val="0"/>
        <w:numPr>
          <w:ilvl w:val="0"/>
          <w:numId w:val="18"/>
        </w:numPr>
        <w:spacing w:after="0"/>
      </w:pPr>
      <w:r>
        <w:t xml:space="preserve">However, there is no </w:t>
      </w:r>
      <w:r w:rsidRPr="0016714D">
        <w:rPr>
          <w:u w:val="single"/>
        </w:rPr>
        <w:t>obligation</w:t>
      </w:r>
      <w:r>
        <w:t xml:space="preserve"> for the trial judge to recuse himself/herself </w:t>
      </w:r>
      <w:r>
        <w:rPr>
          <w:i/>
        </w:rPr>
        <w:t>sua sponte</w:t>
      </w:r>
      <w:r>
        <w:t xml:space="preserve"> absent a violation of a specific standard of OCGA </w:t>
      </w:r>
      <w:r w:rsidR="00A22C32">
        <w:t>§</w:t>
      </w:r>
      <w:r>
        <w:t>15-1-8 or the Code of Judicial Conduct.</w:t>
      </w:r>
      <w:r>
        <w:rPr>
          <w:rStyle w:val="FootnoteReference"/>
        </w:rPr>
        <w:footnoteReference w:id="29"/>
      </w:r>
    </w:p>
    <w:p w14:paraId="733C364E" w14:textId="5B8E0F7F" w:rsidR="00A22C32" w:rsidRDefault="00A22C32" w:rsidP="00ED3C2F">
      <w:pPr>
        <w:pStyle w:val="ListParaNoIndent"/>
        <w:widowControl w:val="0"/>
        <w:numPr>
          <w:ilvl w:val="1"/>
          <w:numId w:val="18"/>
        </w:numPr>
        <w:spacing w:after="0"/>
      </w:pPr>
      <w:r w:rsidRPr="00A22C32">
        <w:lastRenderedPageBreak/>
        <w:t>And we have held that “impartiality might reasonably be questioned” means “the existence of a reasonable perception of lack of impartiality by the judge, held by a fair minded and impartial person based upon objective fact or reasonable inference; it is not based upon the perception of either interested parties or their lawyer-advocates.”</w:t>
      </w:r>
      <w:r>
        <w:rPr>
          <w:rStyle w:val="FootnoteReference"/>
        </w:rPr>
        <w:footnoteReference w:id="30"/>
      </w:r>
    </w:p>
    <w:p w14:paraId="73F5532D" w14:textId="569B27A7" w:rsidR="0030148F" w:rsidRDefault="0030148F" w:rsidP="00ED3C2F">
      <w:pPr>
        <w:pStyle w:val="ListParaNoIndent"/>
        <w:widowControl w:val="0"/>
        <w:numPr>
          <w:ilvl w:val="0"/>
          <w:numId w:val="18"/>
        </w:numPr>
        <w:spacing w:after="0"/>
      </w:pPr>
      <w:r>
        <w:t>“E</w:t>
      </w:r>
      <w:r w:rsidRPr="0030148F">
        <w:t>ven where the facts in an affidavit do not warrant recusal if assumed true, a judge still maintains an ethical duty to recuse himself when he is independently aware of grounds to do so.</w:t>
      </w:r>
      <w:r>
        <w:t>”</w:t>
      </w:r>
      <w:r>
        <w:rPr>
          <w:rStyle w:val="FootnoteReference"/>
        </w:rPr>
        <w:footnoteReference w:id="31"/>
      </w:r>
    </w:p>
    <w:p w14:paraId="194D02E5" w14:textId="3ABB97F8" w:rsidR="005315B6" w:rsidRDefault="005315B6" w:rsidP="00ED3C2F">
      <w:pPr>
        <w:pStyle w:val="ListParaNoIndent"/>
        <w:widowControl w:val="0"/>
        <w:spacing w:after="0"/>
      </w:pPr>
      <w:r>
        <w:pict w14:anchorId="239BBBA8">
          <v:rect id="_x0000_i1059" style="width:468pt;height:1.5pt" o:hralign="center" o:hrstd="t" o:hrnoshade="t" o:hr="t" fillcolor="black [3213]" stroked="f"/>
        </w:pict>
      </w:r>
    </w:p>
    <w:p w14:paraId="49C1D1E5" w14:textId="44268805" w:rsidR="005315B6" w:rsidRPr="005315B6" w:rsidRDefault="005315B6" w:rsidP="00ED3C2F">
      <w:pPr>
        <w:pStyle w:val="ListParaNoIndent"/>
        <w:widowControl w:val="0"/>
        <w:spacing w:after="0"/>
        <w:jc w:val="center"/>
        <w:rPr>
          <w:b/>
          <w:bCs/>
          <w:u w:val="single"/>
        </w:rPr>
      </w:pPr>
      <w:r>
        <w:rPr>
          <w:b/>
          <w:bCs/>
          <w:u w:val="single"/>
        </w:rPr>
        <w:t>BUT DO NOT SIMPLY RECUSE EVERY TIME A MOTION IS FILED</w:t>
      </w:r>
      <w:r w:rsidR="00A27FA5">
        <w:rPr>
          <w:b/>
          <w:bCs/>
          <w:u w:val="single"/>
        </w:rPr>
        <w:t>!</w:t>
      </w:r>
    </w:p>
    <w:p w14:paraId="13CCAA5B" w14:textId="6D2C5B7D" w:rsidR="0043222B" w:rsidRDefault="0043222B" w:rsidP="00ED3C2F">
      <w:pPr>
        <w:pStyle w:val="ListParaNoIndent"/>
        <w:widowControl w:val="0"/>
        <w:numPr>
          <w:ilvl w:val="0"/>
          <w:numId w:val="18"/>
        </w:numPr>
        <w:spacing w:after="0"/>
      </w:pPr>
      <w:r>
        <w:t>“</w:t>
      </w:r>
      <w:r w:rsidRPr="0043222B">
        <w:t xml:space="preserve">Some may worry that trial judges presented with a motion to recuse will simply disqualify themselves voluntarily without evaluating the validity of the motion, with the effect of delaying the case until a new judge can be assigned. But that would be a dereliction, as </w:t>
      </w:r>
      <w:r>
        <w:t>‘</w:t>
      </w:r>
      <w:r w:rsidRPr="0043222B">
        <w:t xml:space="preserve"> </w:t>
      </w:r>
      <w:r w:rsidRPr="00A27FA5">
        <w:rPr>
          <w:u w:val="single"/>
        </w:rPr>
        <w:t>‘[i]t is as much the duty of a judge not to grant the motion to recuse when the motion is legally insufficient as it is to recuse when the motion is meritorious.</w:t>
      </w:r>
      <w:r w:rsidRPr="0043222B">
        <w:t>’</w:t>
      </w:r>
      <w:r w:rsidR="005315B6">
        <w:t>’”</w:t>
      </w:r>
      <w:r w:rsidR="005315B6">
        <w:rPr>
          <w:rStyle w:val="FootnoteReference"/>
        </w:rPr>
        <w:footnoteReference w:id="32"/>
      </w:r>
    </w:p>
    <w:p w14:paraId="59BEAD9D" w14:textId="77777777" w:rsidR="00ED3C2F" w:rsidRDefault="00ED3C2F" w:rsidP="00ED3C2F">
      <w:pPr>
        <w:pStyle w:val="ListParaNoIndent"/>
        <w:widowControl w:val="0"/>
        <w:spacing w:after="0"/>
        <w:ind w:left="432"/>
      </w:pPr>
    </w:p>
    <w:p w14:paraId="4295ECB9" w14:textId="4B5C64CE" w:rsidR="0016714D" w:rsidRDefault="0016714D" w:rsidP="00ED3C2F">
      <w:pPr>
        <w:pStyle w:val="ListParaNoIndent"/>
        <w:widowControl w:val="0"/>
        <w:spacing w:after="0"/>
      </w:pPr>
      <w:r>
        <w:lastRenderedPageBreak/>
        <w:pict w14:anchorId="40CB15D8">
          <v:rect id="_x0000_i1055" style="width:468pt;height:1.5pt" o:hralign="center" o:hrstd="t" o:hrnoshade="t" o:hr="t" fillcolor="black [3213]" stroked="f"/>
        </w:pict>
      </w:r>
    </w:p>
    <w:p w14:paraId="32942208" w14:textId="4CFE9D4B" w:rsidR="0016714D" w:rsidRPr="0016714D" w:rsidRDefault="0016714D" w:rsidP="00ED3C2F">
      <w:pPr>
        <w:pStyle w:val="ListParaNoIndent"/>
        <w:widowControl w:val="0"/>
        <w:spacing w:after="0"/>
        <w:jc w:val="center"/>
      </w:pPr>
      <w:r>
        <w:rPr>
          <w:b/>
          <w:bCs/>
          <w:u w:val="single"/>
        </w:rPr>
        <w:t>SOME SPECIFIC EXAMPLES</w:t>
      </w:r>
    </w:p>
    <w:p w14:paraId="1A8AB572" w14:textId="77777777" w:rsidR="0016714D" w:rsidRDefault="0016714D" w:rsidP="00ED3C2F">
      <w:pPr>
        <w:pStyle w:val="ListParaNoIndent"/>
        <w:widowControl w:val="0"/>
        <w:numPr>
          <w:ilvl w:val="0"/>
          <w:numId w:val="18"/>
        </w:numPr>
        <w:spacing w:after="0"/>
      </w:pPr>
      <w:r>
        <w:t>Where a criminal defendant is alleged to have plotted to kill the trial judge, the trial judge is not required to be recused.</w:t>
      </w:r>
      <w:r>
        <w:rPr>
          <w:rStyle w:val="FootnoteReference"/>
        </w:rPr>
        <w:footnoteReference w:id="33"/>
      </w:r>
      <w:r>
        <w:t xml:space="preserve">  </w:t>
      </w:r>
    </w:p>
    <w:p w14:paraId="1DDA3674" w14:textId="6AB48949" w:rsidR="0016714D" w:rsidRDefault="0016714D" w:rsidP="00ED3C2F">
      <w:pPr>
        <w:pStyle w:val="ListParaNoIndent"/>
        <w:widowControl w:val="0"/>
        <w:numPr>
          <w:ilvl w:val="1"/>
          <w:numId w:val="18"/>
        </w:numPr>
        <w:spacing w:after="0"/>
      </w:pPr>
      <w:r>
        <w:t>If such a threat could always form the basis for recusal, all criminal defendants could manipulate the system by threatening judges which would “…undermine our notions of fair play and justice and damage the public’s perception of the judiciary.”</w:t>
      </w:r>
      <w:r>
        <w:rPr>
          <w:rStyle w:val="FootnoteReference"/>
        </w:rPr>
        <w:footnoteReference w:id="34"/>
      </w:r>
    </w:p>
    <w:p w14:paraId="515B20BD" w14:textId="77777777" w:rsidR="003606D7" w:rsidRDefault="003606D7" w:rsidP="00ED3C2F">
      <w:pPr>
        <w:pStyle w:val="ListParaNoIndent"/>
        <w:widowControl w:val="0"/>
        <w:numPr>
          <w:ilvl w:val="0"/>
          <w:numId w:val="18"/>
        </w:numPr>
        <w:spacing w:after="0"/>
      </w:pPr>
      <w:r>
        <w:t>Where the trial judge is merely acquainted with an alleged victim, without more, the motion to recuse is insufficient.</w:t>
      </w:r>
      <w:r>
        <w:rPr>
          <w:rStyle w:val="FootnoteReference"/>
        </w:rPr>
        <w:footnoteReference w:id="35"/>
      </w:r>
      <w:r>
        <w:t xml:space="preserve">  </w:t>
      </w:r>
    </w:p>
    <w:p w14:paraId="1D645531" w14:textId="77777777" w:rsidR="003606D7" w:rsidRDefault="003606D7" w:rsidP="00ED3C2F">
      <w:pPr>
        <w:pStyle w:val="ListParaNoIndent"/>
        <w:widowControl w:val="0"/>
        <w:numPr>
          <w:ilvl w:val="1"/>
          <w:numId w:val="18"/>
        </w:numPr>
        <w:spacing w:after="0"/>
      </w:pPr>
      <w:r>
        <w:t>“</w:t>
      </w:r>
      <w:r w:rsidRPr="00A3299C">
        <w:t xml:space="preserve">The focus here is not on bias in fact but whether the judge's impartiality might reasonably be questioned, keeping in mind the reality that any judge will have come to the bench after having had extensive contacts with the community and the legal profession. Any analysis of the necessity for recusal is necessarily fact-bound, requiring an examination of the nature and extent of any business, personal, social or political associations, and an exercise of judgment concerning just how close and how extensive (and </w:t>
      </w:r>
      <w:r w:rsidRPr="00A3299C">
        <w:lastRenderedPageBreak/>
        <w:t>how recent) these associations are or have been.</w:t>
      </w:r>
      <w:r>
        <w:t>”</w:t>
      </w:r>
      <w:r>
        <w:rPr>
          <w:rStyle w:val="FootnoteReference"/>
        </w:rPr>
        <w:footnoteReference w:id="36"/>
      </w:r>
      <w:r>
        <w:t xml:space="preserve">  </w:t>
      </w:r>
    </w:p>
    <w:p w14:paraId="7D9D250C" w14:textId="77777777" w:rsidR="003606D7" w:rsidRDefault="003606D7" w:rsidP="00ED3C2F">
      <w:pPr>
        <w:pStyle w:val="ListParaNoIndent"/>
        <w:widowControl w:val="0"/>
        <w:numPr>
          <w:ilvl w:val="0"/>
          <w:numId w:val="18"/>
        </w:numPr>
        <w:spacing w:after="0"/>
      </w:pPr>
      <w:r>
        <w:t>Therefore, there is no required recusal where trial judge had professional encounters with victim’s mother while they both worked at the courthouse.</w:t>
      </w:r>
      <w:r>
        <w:rPr>
          <w:rStyle w:val="FootnoteReference"/>
        </w:rPr>
        <w:footnoteReference w:id="37"/>
      </w:r>
      <w:r>
        <w:t xml:space="preserve">  </w:t>
      </w:r>
    </w:p>
    <w:p w14:paraId="2B03AFE1" w14:textId="05CAF057" w:rsidR="003606D7" w:rsidRDefault="003606D7" w:rsidP="00ED3C2F">
      <w:pPr>
        <w:pStyle w:val="ListParaNoIndent"/>
        <w:widowControl w:val="0"/>
        <w:numPr>
          <w:ilvl w:val="0"/>
          <w:numId w:val="18"/>
        </w:numPr>
        <w:spacing w:after="0"/>
      </w:pPr>
      <w:r>
        <w:t>It is also not an automatic disqualification for the trial judge to have had a regular working relationship with the victim.</w:t>
      </w:r>
      <w:r>
        <w:rPr>
          <w:rStyle w:val="FootnoteReference"/>
        </w:rPr>
        <w:footnoteReference w:id="38"/>
      </w:r>
    </w:p>
    <w:p w14:paraId="5572E2F7" w14:textId="5019D454" w:rsidR="00A22C32" w:rsidRDefault="00A22C32" w:rsidP="00ED3C2F">
      <w:pPr>
        <w:pStyle w:val="ListParaNoIndent"/>
        <w:widowControl w:val="0"/>
        <w:numPr>
          <w:ilvl w:val="0"/>
          <w:numId w:val="18"/>
        </w:numPr>
        <w:spacing w:after="0"/>
      </w:pPr>
      <w:r>
        <w:t xml:space="preserve">No recusal required where judge involved in a traffic accident with a member of the defendant’s family 10-12 years before trial, the </w:t>
      </w:r>
      <w:r w:rsidR="00541718">
        <w:t>family member was not involved with the trial and there was no evidence to suggest judge was even aware that the person involved in the wreck was related to the defendant.</w:t>
      </w:r>
      <w:r w:rsidR="00541718">
        <w:rPr>
          <w:rStyle w:val="FootnoteReference"/>
        </w:rPr>
        <w:footnoteReference w:id="39"/>
      </w:r>
    </w:p>
    <w:p w14:paraId="2FE87775" w14:textId="0C085308" w:rsidR="00ED3C2F" w:rsidRDefault="0030148F" w:rsidP="00ED3C2F">
      <w:pPr>
        <w:pStyle w:val="ListParaNoIndent"/>
        <w:widowControl w:val="0"/>
        <w:numPr>
          <w:ilvl w:val="0"/>
          <w:numId w:val="18"/>
        </w:numPr>
        <w:spacing w:after="0"/>
      </w:pPr>
      <w:r>
        <w:t xml:space="preserve">Where judge orally finds a party in contempt and, before the written order is entered, a motion to recuse the judge is filed, the judge errs when he/she signs a written order </w:t>
      </w:r>
      <w:r w:rsidR="0043222B">
        <w:t>memorializing the oral pronouncement without first addressing the recusal motion.</w:t>
      </w:r>
      <w:r w:rsidR="0043222B">
        <w:rPr>
          <w:rStyle w:val="FootnoteReference"/>
        </w:rPr>
        <w:footnoteReference w:id="40"/>
      </w:r>
    </w:p>
    <w:p w14:paraId="3666194C" w14:textId="05E545B7" w:rsidR="00ED3C2F" w:rsidRDefault="00ED3C2F" w:rsidP="00ED3C2F">
      <w:pPr>
        <w:pStyle w:val="ListParaNoIndent"/>
        <w:widowControl w:val="0"/>
        <w:spacing w:after="0"/>
      </w:pPr>
    </w:p>
    <w:p w14:paraId="47B02D6F" w14:textId="77777777" w:rsidR="00ED3C2F" w:rsidRPr="00EB725E" w:rsidRDefault="00ED3C2F" w:rsidP="00ED3C2F">
      <w:pPr>
        <w:pStyle w:val="ListParaNoIndent"/>
        <w:widowControl w:val="0"/>
        <w:spacing w:after="0"/>
      </w:pPr>
    </w:p>
    <w:p w14:paraId="754FEC03" w14:textId="77777777" w:rsidR="002C4C10" w:rsidRDefault="002C4C10" w:rsidP="00ED3C2F">
      <w:pPr>
        <w:pStyle w:val="ListParaNoIndent"/>
        <w:widowControl w:val="0"/>
        <w:pBdr>
          <w:bottom w:val="single" w:sz="4" w:space="1" w:color="auto"/>
        </w:pBdr>
        <w:spacing w:after="0"/>
      </w:pPr>
    </w:p>
    <w:p w14:paraId="1CCFFB9A" w14:textId="036C6E82" w:rsidR="002C4C10" w:rsidRPr="002C4C10" w:rsidRDefault="00541718" w:rsidP="00ED3C2F">
      <w:pPr>
        <w:pStyle w:val="ListParaNoIndent"/>
        <w:widowControl w:val="0"/>
        <w:spacing w:before="240" w:after="0"/>
        <w:jc w:val="center"/>
        <w:rPr>
          <w:b/>
          <w:bCs/>
          <w:u w:val="single"/>
        </w:rPr>
      </w:pPr>
      <w:r>
        <w:rPr>
          <w:b/>
          <w:bCs/>
          <w:u w:val="single"/>
        </w:rPr>
        <w:t>TRIAL JUDGE AS FORMER DA OR ADA</w:t>
      </w:r>
    </w:p>
    <w:p w14:paraId="0E131C9C" w14:textId="77777777" w:rsidR="00541718" w:rsidRDefault="00541718" w:rsidP="00ED3C2F">
      <w:pPr>
        <w:pStyle w:val="ListParaNoIndent"/>
        <w:widowControl w:val="0"/>
        <w:numPr>
          <w:ilvl w:val="0"/>
          <w:numId w:val="18"/>
        </w:numPr>
        <w:spacing w:after="0"/>
      </w:pPr>
      <w:r>
        <w:t>A trial judge must always be recused where the trial judge previously served as counsel in the controversy at issue.</w:t>
      </w:r>
      <w:r>
        <w:rPr>
          <w:rStyle w:val="FootnoteReference"/>
        </w:rPr>
        <w:footnoteReference w:id="41"/>
      </w:r>
      <w:r>
        <w:t xml:space="preserve">  </w:t>
      </w:r>
    </w:p>
    <w:p w14:paraId="3DFD3158" w14:textId="178E3E4F" w:rsidR="000E652D" w:rsidRDefault="00541718" w:rsidP="00ED3C2F">
      <w:pPr>
        <w:pStyle w:val="ListParaNoIndent"/>
        <w:widowControl w:val="0"/>
        <w:numPr>
          <w:ilvl w:val="1"/>
          <w:numId w:val="18"/>
        </w:numPr>
        <w:spacing w:after="0"/>
      </w:pPr>
      <w:r>
        <w:t>Therefore, if a trial judge formerly worked in the district attorney’s office, the judge would be recused if he/she had any actual involvement in a defendant’s case, regardless of whether that involvement occurred before or after indictment.</w:t>
      </w:r>
      <w:r>
        <w:rPr>
          <w:rStyle w:val="FootnoteReference"/>
        </w:rPr>
        <w:footnoteReference w:id="42"/>
      </w:r>
      <w:r>
        <w:t xml:space="preserve">  </w:t>
      </w:r>
    </w:p>
    <w:p w14:paraId="63B27553" w14:textId="77777777" w:rsidR="00541718" w:rsidRDefault="00541718" w:rsidP="00ED3C2F">
      <w:pPr>
        <w:pStyle w:val="ListParaNoIndent"/>
        <w:widowControl w:val="0"/>
        <w:numPr>
          <w:ilvl w:val="1"/>
          <w:numId w:val="18"/>
        </w:numPr>
        <w:spacing w:after="0"/>
      </w:pPr>
      <w:r>
        <w:t>However, if the trial judge was merely a former assistant district attorney who never had any actual involvement in the underlying criminal case and had no supervisory authority over any lawyers in the office, there is no requirement that the trial judge be recused.</w:t>
      </w:r>
      <w:r>
        <w:rPr>
          <w:rStyle w:val="FootnoteReference"/>
        </w:rPr>
        <w:footnoteReference w:id="43"/>
      </w:r>
      <w:r>
        <w:t xml:space="preserve">  </w:t>
      </w:r>
    </w:p>
    <w:p w14:paraId="46F90B14" w14:textId="24D2E616" w:rsidR="00541718" w:rsidRDefault="00541718" w:rsidP="00ED3C2F">
      <w:pPr>
        <w:pStyle w:val="ListParaNoIndent"/>
        <w:widowControl w:val="0"/>
        <w:numPr>
          <w:ilvl w:val="2"/>
          <w:numId w:val="18"/>
        </w:numPr>
        <w:spacing w:after="0"/>
      </w:pPr>
      <w:r>
        <w:t>Even where it is alleged that the trial judge, because of his/her former employment by the sitting district attorney, owed a debt of gratitude or similar allegiance to the district attorney whose office is prosecuting the case, those facts do not support recusal of the trial judge.</w:t>
      </w:r>
      <w:r>
        <w:rPr>
          <w:rStyle w:val="FootnoteReference"/>
        </w:rPr>
        <w:footnoteReference w:id="44"/>
      </w:r>
    </w:p>
    <w:p w14:paraId="49D1A478" w14:textId="693843A8" w:rsidR="00A23621" w:rsidRDefault="00A23621" w:rsidP="00ED3C2F">
      <w:pPr>
        <w:pStyle w:val="ListParaNoIndent"/>
        <w:widowControl w:val="0"/>
        <w:numPr>
          <w:ilvl w:val="1"/>
          <w:numId w:val="18"/>
        </w:numPr>
        <w:spacing w:after="0"/>
      </w:pPr>
      <w:r>
        <w:lastRenderedPageBreak/>
        <w:t xml:space="preserve">Where the trial judge formerly served as </w:t>
      </w:r>
      <w:r w:rsidRPr="00A23621">
        <w:rPr>
          <w:b/>
          <w:bCs/>
          <w:i/>
          <w:iCs/>
        </w:rPr>
        <w:t>the</w:t>
      </w:r>
      <w:r>
        <w:t xml:space="preserve"> district attorney, “a Georgia district attorney is of counsel in all criminal cases or matters pending in his or her circuit and, therefore, …a trial judge should not preside over a particular criminal matter that was addressed in any fashion by his or her office while he or she was serving as the district attorney.”</w:t>
      </w:r>
      <w:r>
        <w:rPr>
          <w:rStyle w:val="FootnoteReference"/>
        </w:rPr>
        <w:footnoteReference w:id="45"/>
      </w:r>
    </w:p>
    <w:p w14:paraId="46EB8F51" w14:textId="77777777" w:rsidR="00A23621" w:rsidRDefault="00A23621" w:rsidP="00ED3C2F">
      <w:pPr>
        <w:pStyle w:val="ListParaNoIndent"/>
        <w:widowControl w:val="0"/>
        <w:numPr>
          <w:ilvl w:val="2"/>
          <w:numId w:val="18"/>
        </w:numPr>
        <w:spacing w:after="0"/>
      </w:pPr>
      <w:r>
        <w:t>This disqualification is true even where the trial judge/former district attorney never had any actual involvement in the underlying case.  The reasoning is that there is an “appearance of partiality” based upon the supervisory authority that a district attorney has over all cases then pending in the office.</w:t>
      </w:r>
      <w:r>
        <w:rPr>
          <w:rStyle w:val="FootnoteReference"/>
        </w:rPr>
        <w:footnoteReference w:id="46"/>
      </w:r>
      <w:r>
        <w:t xml:space="preserve">  </w:t>
      </w:r>
    </w:p>
    <w:p w14:paraId="2E886810" w14:textId="0B738B7E" w:rsidR="00A23621" w:rsidRDefault="00A23621" w:rsidP="00ED3C2F">
      <w:pPr>
        <w:pStyle w:val="ListParaNoIndent"/>
        <w:widowControl w:val="0"/>
        <w:numPr>
          <w:ilvl w:val="2"/>
          <w:numId w:val="18"/>
        </w:numPr>
        <w:spacing w:after="0"/>
      </w:pPr>
      <w:r>
        <w:t xml:space="preserve">This same rationale applies to any </w:t>
      </w:r>
      <w:r w:rsidRPr="00A23621">
        <w:rPr>
          <w:b/>
          <w:bCs/>
          <w:i/>
          <w:iCs/>
        </w:rPr>
        <w:t>senior</w:t>
      </w:r>
      <w:r>
        <w:t xml:space="preserve"> assistant district attorney </w:t>
      </w:r>
      <w:r w:rsidRPr="00A23621">
        <w:rPr>
          <w:b/>
          <w:bCs/>
          <w:i/>
          <w:iCs/>
        </w:rPr>
        <w:t>with supervisory authority</w:t>
      </w:r>
      <w:r>
        <w:t xml:space="preserve"> over any of the lawyers who had actual involvement in any aspect of the underlying matter.</w:t>
      </w:r>
      <w:r>
        <w:rPr>
          <w:rStyle w:val="FootnoteReference"/>
        </w:rPr>
        <w:footnoteReference w:id="47"/>
      </w:r>
    </w:p>
    <w:p w14:paraId="1211C84B" w14:textId="77777777" w:rsidR="00A23621" w:rsidRDefault="00A23621" w:rsidP="00ED3C2F">
      <w:pPr>
        <w:pStyle w:val="ListParaNoIndent"/>
        <w:widowControl w:val="0"/>
        <w:numPr>
          <w:ilvl w:val="0"/>
          <w:numId w:val="18"/>
        </w:numPr>
        <w:spacing w:after="0"/>
      </w:pPr>
      <w:r>
        <w:t xml:space="preserve">If the trial judge was a former prosecutor and the case involves prior convictions which were obtained while the trial judge was a prosecutor (i.e. 404(b) evidence, prior convictions used in aggravation of punishment or in the context of a probation revocation), that prior employment does not, standing </w:t>
      </w:r>
      <w:r>
        <w:lastRenderedPageBreak/>
        <w:t>alone, require recusal of the trial judge.</w:t>
      </w:r>
      <w:r>
        <w:rPr>
          <w:rStyle w:val="FootnoteReference"/>
        </w:rPr>
        <w:footnoteReference w:id="48"/>
      </w:r>
      <w:r>
        <w:t xml:space="preserve"> </w:t>
      </w:r>
    </w:p>
    <w:p w14:paraId="08BCC705" w14:textId="77777777" w:rsidR="00A23621" w:rsidRDefault="00A23621" w:rsidP="00ED3C2F">
      <w:pPr>
        <w:pStyle w:val="ListParaNoIndent"/>
        <w:widowControl w:val="0"/>
        <w:numPr>
          <w:ilvl w:val="1"/>
          <w:numId w:val="18"/>
        </w:numPr>
        <w:spacing w:after="0"/>
      </w:pPr>
      <w:r>
        <w:t>“The mere fact that [the trial judge] had participated in one of [defendant’s] several prior prosecutions does not give rise to a presumption that she was somehow biased against [the defendant].”</w:t>
      </w:r>
      <w:r>
        <w:rPr>
          <w:rStyle w:val="FootnoteReference"/>
        </w:rPr>
        <w:footnoteReference w:id="49"/>
      </w:r>
      <w:r>
        <w:t xml:space="preserve">  </w:t>
      </w:r>
    </w:p>
    <w:p w14:paraId="24A2B8BA" w14:textId="77777777" w:rsidR="00A23621" w:rsidRDefault="00A23621" w:rsidP="00ED3C2F">
      <w:pPr>
        <w:pStyle w:val="ListParaNoIndent"/>
        <w:widowControl w:val="0"/>
        <w:numPr>
          <w:ilvl w:val="1"/>
          <w:numId w:val="18"/>
        </w:numPr>
        <w:spacing w:after="0"/>
      </w:pPr>
      <w:r>
        <w:t>The fact that the trial judge, as a former prosecutor, was involved with the prosecution of the defendant for another charge not presently before the court is not, standing alone, a ground for disqualification.</w:t>
      </w:r>
      <w:r>
        <w:rPr>
          <w:rStyle w:val="FootnoteReference"/>
        </w:rPr>
        <w:footnoteReference w:id="50"/>
      </w:r>
      <w:r>
        <w:t xml:space="preserve">  </w:t>
      </w:r>
    </w:p>
    <w:p w14:paraId="6ABB1479" w14:textId="42192FDF" w:rsidR="00A23621" w:rsidRDefault="00A23621" w:rsidP="00ED3C2F">
      <w:pPr>
        <w:pStyle w:val="ListParaNoIndent"/>
        <w:widowControl w:val="0"/>
        <w:numPr>
          <w:ilvl w:val="1"/>
          <w:numId w:val="18"/>
        </w:numPr>
        <w:spacing w:after="0"/>
      </w:pPr>
      <w:r>
        <w:t xml:space="preserve">This principle is true even where the trial judge was formerly a prosecutor who </w:t>
      </w:r>
      <w:r w:rsidRPr="00A23621">
        <w:rPr>
          <w:b/>
          <w:bCs/>
          <w:i/>
          <w:iCs/>
        </w:rPr>
        <w:t>actually</w:t>
      </w:r>
      <w:r>
        <w:t xml:space="preserve"> handled the case which resulted in the defendant’s prior conviction.</w:t>
      </w:r>
      <w:r>
        <w:rPr>
          <w:rStyle w:val="FootnoteReference"/>
        </w:rPr>
        <w:footnoteReference w:id="51"/>
      </w:r>
    </w:p>
    <w:p w14:paraId="4A53DD2D" w14:textId="77777777" w:rsidR="000E2C46" w:rsidRDefault="003A7D0E" w:rsidP="00ED3C2F">
      <w:pPr>
        <w:pStyle w:val="ListParaNoIndent"/>
        <w:widowControl w:val="0"/>
        <w:spacing w:after="0"/>
      </w:pPr>
      <w:r>
        <w:pict w14:anchorId="427F5309">
          <v:rect id="_x0000_i1027" style="width:468pt;height:1.5pt" o:hralign="center" o:hrstd="t" o:hrnoshade="t" o:hr="t" fillcolor="black [3213]" stroked="f"/>
        </w:pict>
      </w:r>
    </w:p>
    <w:p w14:paraId="0E58D5BA" w14:textId="21073D98" w:rsidR="006C0A90" w:rsidRDefault="00A23621" w:rsidP="00ED3C2F">
      <w:pPr>
        <w:pStyle w:val="ListParaNoIndent"/>
        <w:widowControl w:val="0"/>
        <w:spacing w:before="240" w:after="0"/>
        <w:jc w:val="center"/>
        <w:rPr>
          <w:b/>
          <w:bCs/>
          <w:u w:val="single"/>
        </w:rPr>
      </w:pPr>
      <w:r w:rsidRPr="00A23621">
        <w:rPr>
          <w:b/>
          <w:bCs/>
          <w:u w:val="single"/>
        </w:rPr>
        <w:t>WHERE A PARTY OR LAWYER FINANCIALLY SUPPORTED TRIAL JUDGE’S POLITICAL CAMPAIGN</w:t>
      </w:r>
    </w:p>
    <w:p w14:paraId="2192543B" w14:textId="77777777" w:rsidR="003D3AE7" w:rsidRDefault="003D3AE7" w:rsidP="00ED3C2F">
      <w:pPr>
        <w:pStyle w:val="ListParaNoIndent"/>
        <w:widowControl w:val="0"/>
        <w:numPr>
          <w:ilvl w:val="0"/>
          <w:numId w:val="18"/>
        </w:numPr>
        <w:spacing w:after="0"/>
      </w:pPr>
      <w:r>
        <w:t xml:space="preserve">“Georgia has judicial elections, elections mean campaigns, and to be successful, campaigns require support, financial and otherwise.  As a practical </w:t>
      </w:r>
      <w:r>
        <w:lastRenderedPageBreak/>
        <w:t>matter, ‘most donors [in judicial campaigns] are lawyers and litigants who may appear before the judge they are supporting.’”</w:t>
      </w:r>
      <w:r>
        <w:rPr>
          <w:rStyle w:val="FootnoteReference"/>
        </w:rPr>
        <w:footnoteReference w:id="52"/>
      </w:r>
      <w:r>
        <w:t xml:space="preserve">  </w:t>
      </w:r>
    </w:p>
    <w:p w14:paraId="34D9CD25" w14:textId="77777777" w:rsidR="003D3AE7" w:rsidRDefault="003D3AE7" w:rsidP="00ED3C2F">
      <w:pPr>
        <w:pStyle w:val="ListParaNoIndent"/>
        <w:widowControl w:val="0"/>
        <w:numPr>
          <w:ilvl w:val="0"/>
          <w:numId w:val="18"/>
        </w:numPr>
        <w:spacing w:after="0"/>
      </w:pPr>
      <w:r>
        <w:t xml:space="preserve">“Although a trial judge should recuse himself or herself from presiding over a case involving a party who has previously made an </w:t>
      </w:r>
      <w:r w:rsidRPr="003D3AE7">
        <w:rPr>
          <w:b/>
          <w:bCs/>
          <w:i/>
          <w:iCs/>
        </w:rPr>
        <w:t>exceptionally-large</w:t>
      </w:r>
      <w:r>
        <w:t xml:space="preserve"> campaign contribution, we hold that recusal is not required because the judge previously received </w:t>
      </w:r>
      <w:r>
        <w:rPr>
          <w:i/>
        </w:rPr>
        <w:t>any</w:t>
      </w:r>
      <w:r>
        <w:t xml:space="preserve"> campaign contribution from a party.”</w:t>
      </w:r>
      <w:r>
        <w:rPr>
          <w:rStyle w:val="FootnoteReference"/>
        </w:rPr>
        <w:footnoteReference w:id="53"/>
      </w:r>
      <w:r>
        <w:t xml:space="preserve"> </w:t>
      </w:r>
    </w:p>
    <w:p w14:paraId="6A5323F7" w14:textId="77777777" w:rsidR="003D3AE7" w:rsidRDefault="003D3AE7" w:rsidP="00ED3C2F">
      <w:pPr>
        <w:pStyle w:val="ListParaNoIndent"/>
        <w:widowControl w:val="0"/>
        <w:numPr>
          <w:ilvl w:val="0"/>
          <w:numId w:val="18"/>
        </w:numPr>
        <w:spacing w:after="0"/>
      </w:pPr>
      <w:r>
        <w:t xml:space="preserve"> “Allegations that a party or a party’s attorney made unexceptional campaign contributions or provided commonplace forms of non-monetary support during a judge’s election campaign ordinarily are insufficient to require referring a recusal motion for reassignment to another judge.”</w:t>
      </w:r>
      <w:r>
        <w:rPr>
          <w:rStyle w:val="FootnoteReference"/>
        </w:rPr>
        <w:footnoteReference w:id="54"/>
      </w:r>
    </w:p>
    <w:p w14:paraId="69E85A3D" w14:textId="77777777" w:rsidR="003D3AE7" w:rsidRDefault="003D3AE7" w:rsidP="00ED3C2F">
      <w:pPr>
        <w:pStyle w:val="ListParaNoIndent"/>
        <w:widowControl w:val="0"/>
        <w:numPr>
          <w:ilvl w:val="0"/>
          <w:numId w:val="18"/>
        </w:numPr>
        <w:spacing w:after="0"/>
      </w:pPr>
      <w:r>
        <w:t xml:space="preserve">However, where a party or a lawyer for a party served as the </w:t>
      </w:r>
      <w:r w:rsidRPr="003D3AE7">
        <w:rPr>
          <w:b/>
          <w:bCs/>
          <w:i/>
          <w:iCs/>
        </w:rPr>
        <w:t>campaign treasurer</w:t>
      </w:r>
      <w:r>
        <w:t xml:space="preserve"> for the judge, </w:t>
      </w:r>
      <w:r w:rsidRPr="003D3AE7">
        <w:rPr>
          <w:b/>
          <w:bCs/>
          <w:u w:val="single"/>
        </w:rPr>
        <w:t>there is sufficient evidence to warrant having the matter referred to another judge for hearing so that relevant facts can be determined</w:t>
      </w:r>
      <w:r>
        <w:t>.</w:t>
      </w:r>
      <w:r>
        <w:rPr>
          <w:rStyle w:val="FootnoteReference"/>
        </w:rPr>
        <w:footnoteReference w:id="55"/>
      </w:r>
      <w:r>
        <w:t xml:space="preserve">  </w:t>
      </w:r>
    </w:p>
    <w:p w14:paraId="2DD2C50A" w14:textId="2CF263B8" w:rsidR="00A23621" w:rsidRPr="003D3AE7" w:rsidRDefault="003D3AE7" w:rsidP="00ED3C2F">
      <w:pPr>
        <w:pStyle w:val="ListParaNoIndent"/>
        <w:widowControl w:val="0"/>
        <w:numPr>
          <w:ilvl w:val="1"/>
          <w:numId w:val="18"/>
        </w:numPr>
        <w:spacing w:after="0"/>
      </w:pPr>
      <w:r>
        <w:t xml:space="preserve">Where a party or lawyer served as treasurer for the judge’s campaign, the judge is not automatically disqualified but, depending on the level of </w:t>
      </w:r>
      <w:r>
        <w:lastRenderedPageBreak/>
        <w:t>involvement of the treasurer, that fact alone may require recusal.</w:t>
      </w:r>
      <w:r>
        <w:rPr>
          <w:rStyle w:val="FootnoteReference"/>
        </w:rPr>
        <w:footnoteReference w:id="56"/>
      </w:r>
    </w:p>
    <w:p w14:paraId="37271372" w14:textId="27270FC1" w:rsidR="006D4228" w:rsidRDefault="003A7D0E" w:rsidP="00ED3C2F">
      <w:pPr>
        <w:pStyle w:val="ListParaNoIndent"/>
        <w:widowControl w:val="0"/>
        <w:spacing w:after="0"/>
      </w:pPr>
      <w:r>
        <w:pict w14:anchorId="11148825">
          <v:rect id="_x0000_i1028" style="width:468pt;height:1.5pt" o:hrstd="t" o:hrnoshade="t" o:hr="t" fillcolor="black [3213]" stroked="f"/>
        </w:pict>
      </w:r>
    </w:p>
    <w:p w14:paraId="6CE3FABC" w14:textId="153D10F2" w:rsidR="0032105C" w:rsidRDefault="0032105C" w:rsidP="00ED3C2F">
      <w:pPr>
        <w:pStyle w:val="ListParaNoIndent"/>
        <w:widowControl w:val="0"/>
        <w:spacing w:before="240" w:after="0"/>
        <w:jc w:val="center"/>
        <w:rPr>
          <w:b/>
          <w:color w:val="212121"/>
          <w:u w:val="single"/>
        </w:rPr>
      </w:pPr>
      <w:r>
        <w:rPr>
          <w:b/>
          <w:color w:val="212121"/>
          <w:u w:val="single"/>
        </w:rPr>
        <w:t xml:space="preserve">CONCLUSION </w:t>
      </w:r>
    </w:p>
    <w:p w14:paraId="62BFC152" w14:textId="39203BFD" w:rsidR="00A27FA5" w:rsidRPr="007E6BA7" w:rsidRDefault="007E6BA7" w:rsidP="00ED3C2F">
      <w:pPr>
        <w:pStyle w:val="ListParaNoIndent"/>
        <w:widowControl w:val="0"/>
        <w:numPr>
          <w:ilvl w:val="0"/>
          <w:numId w:val="18"/>
        </w:numPr>
        <w:spacing w:after="0"/>
        <w:rPr>
          <w:b/>
          <w:color w:val="212121"/>
          <w:u w:val="single"/>
        </w:rPr>
      </w:pPr>
      <w:r>
        <w:rPr>
          <w:bCs/>
          <w:color w:val="212121"/>
        </w:rPr>
        <w:t>When presented with a recusal motion:</w:t>
      </w:r>
    </w:p>
    <w:p w14:paraId="24AA324D" w14:textId="4F89A92D" w:rsidR="007E6BA7" w:rsidRPr="007E6BA7" w:rsidRDefault="007E6BA7" w:rsidP="00ED3C2F">
      <w:pPr>
        <w:pStyle w:val="ListParaNoIndent"/>
        <w:widowControl w:val="0"/>
        <w:numPr>
          <w:ilvl w:val="1"/>
          <w:numId w:val="18"/>
        </w:numPr>
        <w:spacing w:after="0"/>
        <w:rPr>
          <w:b/>
          <w:color w:val="212121"/>
          <w:u w:val="single"/>
        </w:rPr>
      </w:pPr>
      <w:r w:rsidRPr="007E6BA7">
        <w:rPr>
          <w:b/>
          <w:i/>
          <w:iCs/>
          <w:color w:val="212121"/>
        </w:rPr>
        <w:t>Do not</w:t>
      </w:r>
      <w:r>
        <w:rPr>
          <w:bCs/>
          <w:color w:val="212121"/>
        </w:rPr>
        <w:t xml:space="preserve"> get angry!</w:t>
      </w:r>
    </w:p>
    <w:p w14:paraId="6F2C0BA5" w14:textId="0A30E42D" w:rsidR="007E6BA7" w:rsidRPr="007E6BA7" w:rsidRDefault="007E6BA7" w:rsidP="00ED3C2F">
      <w:pPr>
        <w:pStyle w:val="ListParaNoIndent"/>
        <w:widowControl w:val="0"/>
        <w:numPr>
          <w:ilvl w:val="1"/>
          <w:numId w:val="18"/>
        </w:numPr>
        <w:spacing w:after="0"/>
        <w:rPr>
          <w:b/>
          <w:color w:val="212121"/>
          <w:u w:val="single"/>
        </w:rPr>
      </w:pPr>
      <w:r w:rsidRPr="007E6BA7">
        <w:rPr>
          <w:b/>
          <w:i/>
          <w:iCs/>
          <w:color w:val="212121"/>
        </w:rPr>
        <w:t>Do not</w:t>
      </w:r>
      <w:r>
        <w:rPr>
          <w:bCs/>
          <w:color w:val="212121"/>
        </w:rPr>
        <w:t xml:space="preserve"> automatically recuse just because it is easier to do so</w:t>
      </w:r>
    </w:p>
    <w:p w14:paraId="10AE527D" w14:textId="6A6B6C73" w:rsidR="007E6BA7" w:rsidRPr="007E6BA7" w:rsidRDefault="007E6BA7" w:rsidP="00ED3C2F">
      <w:pPr>
        <w:pStyle w:val="ListParaNoIndent"/>
        <w:widowControl w:val="0"/>
        <w:numPr>
          <w:ilvl w:val="1"/>
          <w:numId w:val="18"/>
        </w:numPr>
        <w:spacing w:after="0"/>
        <w:rPr>
          <w:b/>
          <w:color w:val="212121"/>
          <w:u w:val="single"/>
        </w:rPr>
      </w:pPr>
      <w:r w:rsidRPr="007E6BA7">
        <w:rPr>
          <w:b/>
          <w:i/>
          <w:iCs/>
          <w:color w:val="212121"/>
        </w:rPr>
        <w:t>Do not</w:t>
      </w:r>
      <w:r>
        <w:rPr>
          <w:bCs/>
          <w:color w:val="212121"/>
        </w:rPr>
        <w:t xml:space="preserve"> respond to any factual allegations (even if they are “gratuitously defamatory”)</w:t>
      </w:r>
    </w:p>
    <w:p w14:paraId="7FDA5D51" w14:textId="24C89E3D" w:rsidR="007E6BA7" w:rsidRPr="007E6BA7" w:rsidRDefault="007E6BA7" w:rsidP="00ED3C2F">
      <w:pPr>
        <w:pStyle w:val="ListParaNoIndent"/>
        <w:widowControl w:val="0"/>
        <w:numPr>
          <w:ilvl w:val="0"/>
          <w:numId w:val="18"/>
        </w:numPr>
        <w:spacing w:after="0"/>
        <w:rPr>
          <w:b/>
          <w:color w:val="212121"/>
          <w:u w:val="single"/>
        </w:rPr>
      </w:pPr>
      <w:r>
        <w:rPr>
          <w:bCs/>
          <w:color w:val="212121"/>
        </w:rPr>
        <w:t>Instead:</w:t>
      </w:r>
    </w:p>
    <w:p w14:paraId="094FDFB9" w14:textId="4682B382" w:rsidR="000575DA" w:rsidRPr="000575DA" w:rsidRDefault="000575DA" w:rsidP="00ED3C2F">
      <w:pPr>
        <w:pStyle w:val="ListParaNoIndent"/>
        <w:widowControl w:val="0"/>
        <w:numPr>
          <w:ilvl w:val="1"/>
          <w:numId w:val="18"/>
        </w:numPr>
        <w:spacing w:after="0"/>
        <w:rPr>
          <w:b/>
          <w:color w:val="212121"/>
          <w:u w:val="single"/>
        </w:rPr>
      </w:pPr>
      <w:r w:rsidRPr="000575DA">
        <w:rPr>
          <w:b/>
          <w:i/>
          <w:iCs/>
          <w:color w:val="212121"/>
          <w:u w:val="single"/>
        </w:rPr>
        <w:t>Stop taking any action in the case</w:t>
      </w:r>
      <w:r>
        <w:rPr>
          <w:b/>
          <w:color w:val="212121"/>
        </w:rPr>
        <w:t>!</w:t>
      </w:r>
    </w:p>
    <w:p w14:paraId="3F6B4308" w14:textId="60C8902C" w:rsidR="007E6BA7" w:rsidRPr="007E6BA7" w:rsidRDefault="007E6BA7" w:rsidP="00ED3C2F">
      <w:pPr>
        <w:pStyle w:val="ListParaNoIndent"/>
        <w:widowControl w:val="0"/>
        <w:numPr>
          <w:ilvl w:val="1"/>
          <w:numId w:val="18"/>
        </w:numPr>
        <w:spacing w:after="0"/>
        <w:rPr>
          <w:b/>
          <w:color w:val="212121"/>
          <w:u w:val="single"/>
        </w:rPr>
      </w:pPr>
      <w:r>
        <w:rPr>
          <w:bCs/>
          <w:color w:val="212121"/>
        </w:rPr>
        <w:t>Look to 3 required criteria for such a motion (get out U.S.C.R. 25):</w:t>
      </w:r>
    </w:p>
    <w:p w14:paraId="3F2747DF" w14:textId="4CDB0588" w:rsidR="007E6BA7" w:rsidRPr="000575DA" w:rsidRDefault="000575DA" w:rsidP="00ED3C2F">
      <w:pPr>
        <w:pStyle w:val="ListParaNoIndent"/>
        <w:widowControl w:val="0"/>
        <w:numPr>
          <w:ilvl w:val="2"/>
          <w:numId w:val="18"/>
        </w:numPr>
        <w:spacing w:after="0"/>
        <w:rPr>
          <w:b/>
          <w:color w:val="212121"/>
          <w:u w:val="single"/>
        </w:rPr>
      </w:pPr>
      <w:r>
        <w:rPr>
          <w:bCs/>
          <w:color w:val="212121"/>
        </w:rPr>
        <w:t>Timeliness;</w:t>
      </w:r>
    </w:p>
    <w:p w14:paraId="09701FE1" w14:textId="27A8E63B" w:rsidR="000575DA" w:rsidRPr="000575DA" w:rsidRDefault="000575DA" w:rsidP="00ED3C2F">
      <w:pPr>
        <w:pStyle w:val="ListParaNoIndent"/>
        <w:widowControl w:val="0"/>
        <w:numPr>
          <w:ilvl w:val="2"/>
          <w:numId w:val="18"/>
        </w:numPr>
        <w:spacing w:after="0"/>
        <w:rPr>
          <w:b/>
          <w:color w:val="212121"/>
          <w:u w:val="single"/>
        </w:rPr>
      </w:pPr>
      <w:r>
        <w:rPr>
          <w:bCs/>
          <w:color w:val="212121"/>
        </w:rPr>
        <w:t>Legal sufficiency of the affidavit; and</w:t>
      </w:r>
    </w:p>
    <w:p w14:paraId="159535FC" w14:textId="1F2D6609" w:rsidR="000575DA" w:rsidRPr="000575DA" w:rsidRDefault="000575DA" w:rsidP="00ED3C2F">
      <w:pPr>
        <w:pStyle w:val="ListParaNoIndent"/>
        <w:widowControl w:val="0"/>
        <w:numPr>
          <w:ilvl w:val="2"/>
          <w:numId w:val="18"/>
        </w:numPr>
        <w:spacing w:after="0"/>
        <w:rPr>
          <w:b/>
          <w:color w:val="212121"/>
          <w:u w:val="single"/>
        </w:rPr>
      </w:pPr>
      <w:r>
        <w:rPr>
          <w:bCs/>
          <w:color w:val="212121"/>
        </w:rPr>
        <w:t>Legal sufficiency of grounds</w:t>
      </w:r>
    </w:p>
    <w:p w14:paraId="2BB018A6" w14:textId="61329CDB" w:rsidR="000575DA" w:rsidRPr="000575DA" w:rsidRDefault="000575DA" w:rsidP="00ED3C2F">
      <w:pPr>
        <w:pStyle w:val="ListParaNoIndent"/>
        <w:widowControl w:val="0"/>
        <w:numPr>
          <w:ilvl w:val="0"/>
          <w:numId w:val="18"/>
        </w:numPr>
        <w:spacing w:after="0"/>
        <w:rPr>
          <w:b/>
          <w:color w:val="212121"/>
          <w:u w:val="single"/>
        </w:rPr>
      </w:pPr>
      <w:r>
        <w:rPr>
          <w:bCs/>
          <w:color w:val="212121"/>
        </w:rPr>
        <w:t>Assuming everything in the motion is true, would recusal be warranted?</w:t>
      </w:r>
    </w:p>
    <w:p w14:paraId="6DB873DE" w14:textId="0485505A" w:rsidR="000575DA" w:rsidRPr="000575DA" w:rsidRDefault="000575DA" w:rsidP="00ED3C2F">
      <w:pPr>
        <w:pStyle w:val="ListParaNoIndent"/>
        <w:widowControl w:val="0"/>
        <w:numPr>
          <w:ilvl w:val="0"/>
          <w:numId w:val="18"/>
        </w:numPr>
        <w:spacing w:after="0"/>
        <w:rPr>
          <w:b/>
          <w:color w:val="212121"/>
          <w:u w:val="single"/>
        </w:rPr>
      </w:pPr>
      <w:r>
        <w:rPr>
          <w:bCs/>
          <w:color w:val="212121"/>
        </w:rPr>
        <w:t xml:space="preserve">If yes, have another judge </w:t>
      </w:r>
      <w:r w:rsidR="00E434A5">
        <w:rPr>
          <w:bCs/>
          <w:color w:val="212121"/>
        </w:rPr>
        <w:t>(</w:t>
      </w:r>
      <w:r>
        <w:rPr>
          <w:bCs/>
          <w:color w:val="212121"/>
        </w:rPr>
        <w:t>assigned by your chief judge</w:t>
      </w:r>
      <w:r w:rsidR="00E434A5">
        <w:rPr>
          <w:bCs/>
          <w:color w:val="212121"/>
        </w:rPr>
        <w:t>)</w:t>
      </w:r>
      <w:r>
        <w:rPr>
          <w:bCs/>
          <w:color w:val="212121"/>
        </w:rPr>
        <w:t xml:space="preserve"> to hear the motion</w:t>
      </w:r>
    </w:p>
    <w:p w14:paraId="52F9848C" w14:textId="4CCBDEC1" w:rsidR="000575DA" w:rsidRPr="00ED3C2F" w:rsidRDefault="000575DA" w:rsidP="00ED3C2F">
      <w:pPr>
        <w:pStyle w:val="ListParaNoIndent"/>
        <w:widowControl w:val="0"/>
        <w:numPr>
          <w:ilvl w:val="0"/>
          <w:numId w:val="18"/>
        </w:numPr>
        <w:spacing w:after="0"/>
        <w:rPr>
          <w:b/>
          <w:color w:val="212121"/>
          <w:u w:val="single"/>
        </w:rPr>
      </w:pPr>
      <w:r>
        <w:rPr>
          <w:bCs/>
          <w:color w:val="212121"/>
        </w:rPr>
        <w:t xml:space="preserve">If no, enter a written order with findings as to the deficiency in the motion (not </w:t>
      </w:r>
      <w:r>
        <w:rPr>
          <w:bCs/>
          <w:color w:val="212121"/>
        </w:rPr>
        <w:lastRenderedPageBreak/>
        <w:t>factual disputes—merely procedural findings)</w:t>
      </w:r>
    </w:p>
    <w:p w14:paraId="442D6D60" w14:textId="24AC2AA4" w:rsidR="00ED3C2F" w:rsidRPr="00ED3C2F" w:rsidRDefault="00ED3C2F" w:rsidP="00ED3C2F">
      <w:pPr>
        <w:pStyle w:val="ListParaNoIndent"/>
        <w:widowControl w:val="0"/>
        <w:numPr>
          <w:ilvl w:val="0"/>
          <w:numId w:val="18"/>
        </w:numPr>
        <w:spacing w:after="0"/>
        <w:rPr>
          <w:b/>
          <w:color w:val="212121"/>
          <w:u w:val="single"/>
        </w:rPr>
      </w:pPr>
      <w:r>
        <w:rPr>
          <w:bCs/>
          <w:color w:val="212121"/>
        </w:rPr>
        <w:t xml:space="preserve">Thanks for listening and remember that we post outlines of these podcasts on our website, goodjudgepod.com  </w:t>
      </w:r>
    </w:p>
    <w:p w14:paraId="7BECA839" w14:textId="3ABD81F0" w:rsidR="00ED3C2F" w:rsidRDefault="00ED3C2F" w:rsidP="00ED3C2F">
      <w:pPr>
        <w:pStyle w:val="ListParaNoIndent"/>
        <w:widowControl w:val="0"/>
        <w:numPr>
          <w:ilvl w:val="0"/>
          <w:numId w:val="18"/>
        </w:numPr>
        <w:spacing w:after="0"/>
        <w:rPr>
          <w:b/>
          <w:color w:val="212121"/>
          <w:u w:val="single"/>
        </w:rPr>
      </w:pPr>
      <w:r>
        <w:rPr>
          <w:bCs/>
          <w:color w:val="212121"/>
        </w:rPr>
        <w:t xml:space="preserve">We would really appreciate it if you would rate and review the podcast and tell us how we are doing.  We realize we will never be a </w:t>
      </w:r>
      <w:r w:rsidR="00722AC5">
        <w:rPr>
          <w:bCs/>
          <w:color w:val="212121"/>
        </w:rPr>
        <w:t>“most followed” podcast but it does help us know how to improve and how to better serve you.</w:t>
      </w:r>
      <w:bookmarkStart w:id="0" w:name="_GoBack"/>
      <w:bookmarkEnd w:id="0"/>
    </w:p>
    <w:p w14:paraId="39833D0B" w14:textId="77777777" w:rsidR="006B5F86" w:rsidRPr="00F815E6" w:rsidRDefault="006B5F86" w:rsidP="00ED3C2F">
      <w:pPr>
        <w:pStyle w:val="ListParaNoIndent"/>
        <w:widowControl w:val="0"/>
        <w:spacing w:before="240" w:after="0"/>
        <w:jc w:val="center"/>
        <w:rPr>
          <w:color w:val="212121"/>
        </w:rPr>
      </w:pPr>
    </w:p>
    <w:p w14:paraId="6821CF14" w14:textId="21A20B6A" w:rsidR="0010548B" w:rsidRDefault="0010548B" w:rsidP="00ED3C2F">
      <w:pPr>
        <w:pStyle w:val="ListParaNoIndent"/>
        <w:widowControl w:val="0"/>
        <w:spacing w:after="0"/>
      </w:pPr>
    </w:p>
    <w:p w14:paraId="4332D1C7" w14:textId="63BA2580" w:rsidR="00BF07BD" w:rsidRPr="00BF07BD" w:rsidRDefault="00F815E6" w:rsidP="00ED3C2F">
      <w:pPr>
        <w:widowControl w:val="0"/>
        <w:spacing w:after="0" w:line="480" w:lineRule="auto"/>
        <w:ind w:firstLine="0"/>
        <w:jc w:val="center"/>
        <w:rPr>
          <w:b/>
          <w:color w:val="212121"/>
          <w:u w:val="single"/>
        </w:rPr>
      </w:pPr>
      <w:r>
        <w:br w:type="page"/>
      </w:r>
      <w:r w:rsidR="00BF07BD">
        <w:rPr>
          <w:b/>
          <w:color w:val="212121"/>
          <w:u w:val="single"/>
        </w:rPr>
        <w:lastRenderedPageBreak/>
        <w:t>ENDNOTES</w:t>
      </w:r>
    </w:p>
    <w:sectPr w:rsidR="00BF07BD" w:rsidRPr="00BF07BD">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16EF7" w14:textId="77777777" w:rsidR="003A7D0E" w:rsidRDefault="003A7D0E" w:rsidP="003F5555">
      <w:pPr>
        <w:spacing w:after="0" w:line="240" w:lineRule="auto"/>
      </w:pPr>
      <w:r>
        <w:separator/>
      </w:r>
    </w:p>
  </w:endnote>
  <w:endnote w:type="continuationSeparator" w:id="0">
    <w:p w14:paraId="6C29E09F" w14:textId="77777777" w:rsidR="003A7D0E" w:rsidRDefault="003A7D0E" w:rsidP="003F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325F" w14:textId="77777777" w:rsidR="00203CFD" w:rsidRDefault="00203CFD" w:rsidP="00203CFD">
    <w:pPr>
      <w:pStyle w:val="Footer"/>
      <w:rPr>
        <w:b w:val="0"/>
        <w:szCs w:val="20"/>
      </w:rPr>
    </w:pPr>
  </w:p>
  <w:p w14:paraId="7D8D3B41" w14:textId="77777777" w:rsidR="00203CFD" w:rsidRDefault="00203CFD" w:rsidP="00203CFD">
    <w:pPr>
      <w:pStyle w:val="Footer"/>
      <w:rPr>
        <w:szCs w:val="20"/>
      </w:rPr>
    </w:pPr>
  </w:p>
  <w:p w14:paraId="2E27172A" w14:textId="403BA1D7" w:rsidR="00203CFD" w:rsidRDefault="0022219C" w:rsidP="00203CFD">
    <w:pPr>
      <w:pStyle w:val="Footer"/>
      <w:rPr>
        <w:szCs w:val="20"/>
      </w:rPr>
    </w:pPr>
    <w:r>
      <w:rPr>
        <w:szCs w:val="20"/>
      </w:rPr>
      <w:t>RECUSAL MOTIONS</w:t>
    </w:r>
  </w:p>
  <w:p w14:paraId="2CB06520" w14:textId="0AA56EFE" w:rsidR="00203CFD" w:rsidRDefault="00203CFD" w:rsidP="00203CFD">
    <w:pPr>
      <w:pStyle w:val="Footer"/>
      <w:rPr>
        <w:b w:val="0"/>
        <w:szCs w:val="20"/>
      </w:rPr>
    </w:pPr>
    <w:r>
      <w:rPr>
        <w:szCs w:val="20"/>
      </w:rPr>
      <w:t xml:space="preserve">LAST UPDATED </w:t>
    </w:r>
    <w:r w:rsidR="0022219C">
      <w:rPr>
        <w:szCs w:val="20"/>
      </w:rPr>
      <w:t>11</w:t>
    </w:r>
    <w:r>
      <w:rPr>
        <w:szCs w:val="20"/>
      </w:rPr>
      <w:t>/</w:t>
    </w:r>
    <w:r w:rsidR="0022219C">
      <w:rPr>
        <w:szCs w:val="20"/>
      </w:rPr>
      <w:t>3</w:t>
    </w:r>
    <w:r>
      <w:rPr>
        <w:szCs w:val="20"/>
      </w:rPr>
      <w:t>/2019</w:t>
    </w:r>
  </w:p>
  <w:p w14:paraId="06243F51" w14:textId="77777777" w:rsidR="00203CFD" w:rsidRDefault="00203CFD" w:rsidP="00203CFD">
    <w:pPr>
      <w:pStyle w:val="Footer"/>
    </w:pPr>
    <w:r>
      <w:rPr>
        <w:szCs w:val="20"/>
      </w:rPr>
      <w:t xml:space="preserve">PAGE </w:t>
    </w:r>
    <w:r>
      <w:rPr>
        <w:b w:val="0"/>
        <w:szCs w:val="20"/>
      </w:rPr>
      <w:fldChar w:fldCharType="begin"/>
    </w:r>
    <w:r>
      <w:rPr>
        <w:szCs w:val="20"/>
      </w:rPr>
      <w:instrText xml:space="preserve"> PAGE  \* Arabic  \* MERGEFORMAT </w:instrText>
    </w:r>
    <w:r>
      <w:rPr>
        <w:b w:val="0"/>
        <w:szCs w:val="20"/>
      </w:rPr>
      <w:fldChar w:fldCharType="separate"/>
    </w:r>
    <w:r>
      <w:rPr>
        <w:noProof/>
        <w:szCs w:val="20"/>
      </w:rPr>
      <w:t>1</w:t>
    </w:r>
    <w:r>
      <w:rPr>
        <w:b w:val="0"/>
        <w:szCs w:val="20"/>
      </w:rPr>
      <w:fldChar w:fldCharType="end"/>
    </w:r>
    <w:r>
      <w:rPr>
        <w:szCs w:val="20"/>
      </w:rPr>
      <w:t xml:space="preserve"> OF </w:t>
    </w:r>
    <w:r>
      <w:rPr>
        <w:b w:val="0"/>
        <w:szCs w:val="20"/>
      </w:rPr>
      <w:fldChar w:fldCharType="begin"/>
    </w:r>
    <w:r>
      <w:rPr>
        <w:szCs w:val="20"/>
      </w:rPr>
      <w:instrText xml:space="preserve"> NUMPAGES  \* Arabic  \* MERGEFORMAT </w:instrText>
    </w:r>
    <w:r>
      <w:rPr>
        <w:b w:val="0"/>
        <w:szCs w:val="20"/>
      </w:rPr>
      <w:fldChar w:fldCharType="separate"/>
    </w:r>
    <w:r>
      <w:rPr>
        <w:noProof/>
        <w:szCs w:val="20"/>
      </w:rPr>
      <w:t>1</w:t>
    </w:r>
    <w:r>
      <w:rPr>
        <w:b w:val="0"/>
        <w:szCs w:val="20"/>
      </w:rPr>
      <w:fldChar w:fldCharType="end"/>
    </w:r>
  </w:p>
  <w:p w14:paraId="379DACDD" w14:textId="77777777" w:rsidR="00203CFD" w:rsidRDefault="00203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B2604" w14:textId="77777777" w:rsidR="003A7D0E" w:rsidRDefault="003A7D0E" w:rsidP="003F5555">
      <w:pPr>
        <w:spacing w:after="0" w:line="240" w:lineRule="auto"/>
      </w:pPr>
      <w:r>
        <w:separator/>
      </w:r>
    </w:p>
  </w:footnote>
  <w:footnote w:type="continuationSeparator" w:id="0">
    <w:p w14:paraId="40F2F59A" w14:textId="77777777" w:rsidR="003A7D0E" w:rsidRDefault="003A7D0E" w:rsidP="003F5555">
      <w:pPr>
        <w:spacing w:after="0" w:line="240" w:lineRule="auto"/>
      </w:pPr>
      <w:r>
        <w:continuationSeparator/>
      </w:r>
    </w:p>
  </w:footnote>
  <w:footnote w:id="1">
    <w:p w14:paraId="034A70F8" w14:textId="77777777" w:rsidR="0016714D" w:rsidRPr="00950C07" w:rsidRDefault="0016714D" w:rsidP="0016714D">
      <w:pPr>
        <w:pStyle w:val="FootnoteText"/>
      </w:pPr>
      <w:r>
        <w:rPr>
          <w:rStyle w:val="FootnoteReference"/>
        </w:rPr>
        <w:footnoteRef/>
      </w:r>
      <w:r>
        <w:t xml:space="preserve"> </w:t>
      </w:r>
      <w:r>
        <w:rPr>
          <w:i/>
        </w:rPr>
        <w:t>Post v. State</w:t>
      </w:r>
      <w:r>
        <w:t xml:space="preserve">, 298 Ga. 241, 244 (2015); citing </w:t>
      </w:r>
      <w:r>
        <w:rPr>
          <w:i/>
        </w:rPr>
        <w:t>Horn v. Shepherd</w:t>
      </w:r>
      <w:r>
        <w:t>, 294 Ga. 468, 473 (2014).</w:t>
      </w:r>
    </w:p>
  </w:footnote>
  <w:footnote w:id="2">
    <w:p w14:paraId="59DC863A" w14:textId="77777777" w:rsidR="0016714D" w:rsidRPr="00BB45AD" w:rsidRDefault="0016714D" w:rsidP="0016714D">
      <w:pPr>
        <w:pStyle w:val="FootnoteText"/>
      </w:pPr>
      <w:r>
        <w:rPr>
          <w:rStyle w:val="FootnoteReference"/>
        </w:rPr>
        <w:footnoteRef/>
      </w:r>
      <w:r>
        <w:t xml:space="preserve"> </w:t>
      </w:r>
      <w:r>
        <w:rPr>
          <w:i/>
        </w:rPr>
        <w:t>Post v. State</w:t>
      </w:r>
      <w:r>
        <w:t xml:space="preserve">, 298 Ga. 241, 244 (2015); citing </w:t>
      </w:r>
      <w:r>
        <w:rPr>
          <w:i/>
        </w:rPr>
        <w:t>Isaacs v. State</w:t>
      </w:r>
      <w:r>
        <w:t>, 257 Ga. 126, 128 (1987).</w:t>
      </w:r>
    </w:p>
  </w:footnote>
  <w:footnote w:id="3">
    <w:p w14:paraId="7C163862" w14:textId="77777777" w:rsidR="0016714D" w:rsidRPr="00A17E98" w:rsidRDefault="0016714D" w:rsidP="0016714D">
      <w:pPr>
        <w:pStyle w:val="FootnoteText"/>
      </w:pPr>
      <w:r>
        <w:rPr>
          <w:rStyle w:val="FootnoteReference"/>
        </w:rPr>
        <w:footnoteRef/>
      </w:r>
      <w:r>
        <w:t xml:space="preserve"> </w:t>
      </w:r>
      <w:r>
        <w:rPr>
          <w:i/>
        </w:rPr>
        <w:t>Post v. State</w:t>
      </w:r>
      <w:r>
        <w:t>, 298 Ga. 241, 257 (2015).</w:t>
      </w:r>
    </w:p>
  </w:footnote>
  <w:footnote w:id="4">
    <w:p w14:paraId="7B7E0C39" w14:textId="77777777" w:rsidR="0016714D" w:rsidRPr="005E719A" w:rsidRDefault="0016714D" w:rsidP="0016714D">
      <w:pPr>
        <w:pStyle w:val="FootnoteText"/>
      </w:pPr>
      <w:r>
        <w:rPr>
          <w:rStyle w:val="FootnoteReference"/>
        </w:rPr>
        <w:footnoteRef/>
      </w:r>
      <w:r>
        <w:t xml:space="preserve"> </w:t>
      </w:r>
      <w:r>
        <w:rPr>
          <w:i/>
        </w:rPr>
        <w:t>Post v. State</w:t>
      </w:r>
      <w:r>
        <w:t xml:space="preserve">, 298 Ga. 241, 258 (2015); citing </w:t>
      </w:r>
      <w:r>
        <w:rPr>
          <w:i/>
        </w:rPr>
        <w:t>Isaacs v. State</w:t>
      </w:r>
      <w:r>
        <w:t>, 257 Ga. 126, 128 (1987).</w:t>
      </w:r>
    </w:p>
  </w:footnote>
  <w:footnote w:id="5">
    <w:p w14:paraId="064F9896" w14:textId="77777777" w:rsidR="00F96953" w:rsidRPr="006145F2" w:rsidRDefault="00F96953" w:rsidP="00F96953">
      <w:pPr>
        <w:pStyle w:val="FootnoteText"/>
      </w:pPr>
      <w:r>
        <w:rPr>
          <w:rStyle w:val="FootnoteReference"/>
        </w:rPr>
        <w:footnoteRef/>
      </w:r>
      <w:r>
        <w:t xml:space="preserve"> The “terms ‘recuse’ or ‘recusal’ and ‘disqualify’ or ‘disqualification’ are used interchangeably in this context.”  </w:t>
      </w:r>
      <w:r>
        <w:rPr>
          <w:i/>
        </w:rPr>
        <w:t>Post v. State</w:t>
      </w:r>
      <w:r>
        <w:t>, 298 Ga. 241, n. 3 (2015).</w:t>
      </w:r>
    </w:p>
  </w:footnote>
  <w:footnote w:id="6">
    <w:p w14:paraId="369D781A" w14:textId="1C43952B" w:rsidR="00F96953" w:rsidRPr="005B296F" w:rsidRDefault="00F96953" w:rsidP="00F96953">
      <w:pPr>
        <w:pStyle w:val="FootnoteText"/>
      </w:pPr>
      <w:r>
        <w:rPr>
          <w:rStyle w:val="FootnoteReference"/>
        </w:rPr>
        <w:footnoteRef/>
      </w:r>
      <w:r>
        <w:t xml:space="preserve"> </w:t>
      </w:r>
      <w:r>
        <w:rPr>
          <w:i/>
        </w:rPr>
        <w:t>Robinson v. State</w:t>
      </w:r>
      <w:r>
        <w:t xml:space="preserve">, 332 Ga. App. 240, 241 (2015); citing </w:t>
      </w:r>
      <w:r>
        <w:rPr>
          <w:i/>
        </w:rPr>
        <w:t>Baptiste v. State</w:t>
      </w:r>
      <w:r>
        <w:t>, 229 Ga. App. 691, 698 (1997), USCR 25.2.</w:t>
      </w:r>
      <w:r w:rsidR="005B296F">
        <w:t xml:space="preserve">  </w:t>
      </w:r>
      <w:proofErr w:type="spellStart"/>
      <w:r w:rsidR="005B296F">
        <w:rPr>
          <w:i/>
          <w:iCs/>
        </w:rPr>
        <w:t>Serdula</w:t>
      </w:r>
      <w:proofErr w:type="spellEnd"/>
      <w:r w:rsidR="005B296F">
        <w:rPr>
          <w:i/>
          <w:iCs/>
        </w:rPr>
        <w:t xml:space="preserve"> v. State</w:t>
      </w:r>
      <w:r w:rsidR="005B296F">
        <w:t>, 344 Ga. App. 587, 589 (2018).</w:t>
      </w:r>
    </w:p>
  </w:footnote>
  <w:footnote w:id="7">
    <w:p w14:paraId="52154D78" w14:textId="4EE1A47F" w:rsidR="00F96953" w:rsidRDefault="00F96953" w:rsidP="00F96953">
      <w:pPr>
        <w:pStyle w:val="FootnoteText"/>
      </w:pPr>
      <w:r>
        <w:rPr>
          <w:rStyle w:val="FootnoteReference"/>
        </w:rPr>
        <w:footnoteRef/>
      </w:r>
      <w:r>
        <w:t xml:space="preserve"> USCR 25.3.</w:t>
      </w:r>
    </w:p>
  </w:footnote>
  <w:footnote w:id="8">
    <w:p w14:paraId="6B8181AB" w14:textId="4C2DC35E" w:rsidR="005B296F" w:rsidRPr="005B296F" w:rsidRDefault="005B296F">
      <w:pPr>
        <w:pStyle w:val="FootnoteText"/>
      </w:pPr>
      <w:r>
        <w:rPr>
          <w:rStyle w:val="FootnoteReference"/>
        </w:rPr>
        <w:footnoteRef/>
      </w:r>
      <w:r>
        <w:t xml:space="preserve"> </w:t>
      </w:r>
      <w:proofErr w:type="spellStart"/>
      <w:r>
        <w:rPr>
          <w:i/>
          <w:iCs/>
        </w:rPr>
        <w:t>Serdula</w:t>
      </w:r>
      <w:proofErr w:type="spellEnd"/>
      <w:r>
        <w:rPr>
          <w:i/>
          <w:iCs/>
        </w:rPr>
        <w:t xml:space="preserve"> v. State, </w:t>
      </w:r>
      <w:r>
        <w:t>344 Ga. App. 587, 589 (2018).</w:t>
      </w:r>
    </w:p>
  </w:footnote>
  <w:footnote w:id="9">
    <w:p w14:paraId="30549273" w14:textId="77777777" w:rsidR="00671120" w:rsidRPr="009358E9" w:rsidRDefault="00671120" w:rsidP="00671120">
      <w:pPr>
        <w:pStyle w:val="FootnoteText"/>
      </w:pPr>
      <w:r>
        <w:rPr>
          <w:rStyle w:val="FootnoteReference"/>
        </w:rPr>
        <w:footnoteRef/>
      </w:r>
      <w:r>
        <w:t xml:space="preserve"> </w:t>
      </w:r>
      <w:r>
        <w:rPr>
          <w:i/>
        </w:rPr>
        <w:t>State v. Hargis</w:t>
      </w:r>
      <w:r>
        <w:t>, 294 Ga. 818, 822 (2014).</w:t>
      </w:r>
    </w:p>
  </w:footnote>
  <w:footnote w:id="10">
    <w:p w14:paraId="3783217E" w14:textId="77777777" w:rsidR="00671120" w:rsidRPr="00746EA4" w:rsidRDefault="00671120" w:rsidP="00671120">
      <w:pPr>
        <w:pStyle w:val="FootnoteText"/>
      </w:pPr>
      <w:r>
        <w:rPr>
          <w:rStyle w:val="FootnoteReference"/>
        </w:rPr>
        <w:footnoteRef/>
      </w:r>
      <w:r>
        <w:t xml:space="preserve"> </w:t>
      </w:r>
      <w:proofErr w:type="spellStart"/>
      <w:r>
        <w:rPr>
          <w:i/>
        </w:rPr>
        <w:t>Pyatt</w:t>
      </w:r>
      <w:proofErr w:type="spellEnd"/>
      <w:r>
        <w:rPr>
          <w:i/>
        </w:rPr>
        <w:t xml:space="preserve"> v. State</w:t>
      </w:r>
      <w:r>
        <w:t>, 298 Ga. 742, 749-750 (2016).</w:t>
      </w:r>
    </w:p>
  </w:footnote>
  <w:footnote w:id="11">
    <w:p w14:paraId="40FB7FA1" w14:textId="77777777" w:rsidR="00872C28" w:rsidRPr="00746EA4" w:rsidRDefault="00872C28" w:rsidP="00872C28">
      <w:pPr>
        <w:pStyle w:val="FootnoteText"/>
      </w:pPr>
      <w:r>
        <w:rPr>
          <w:rStyle w:val="FootnoteReference"/>
        </w:rPr>
        <w:footnoteRef/>
      </w:r>
      <w:r>
        <w:t xml:space="preserve"> </w:t>
      </w:r>
      <w:proofErr w:type="spellStart"/>
      <w:r>
        <w:rPr>
          <w:i/>
        </w:rPr>
        <w:t>Ballweg</w:t>
      </w:r>
      <w:proofErr w:type="spellEnd"/>
      <w:r>
        <w:rPr>
          <w:i/>
        </w:rPr>
        <w:t xml:space="preserve"> v. Ga. Dept. of Human Services</w:t>
      </w:r>
      <w:r>
        <w:t xml:space="preserve">, 336 Ga. App. 372, 374 (2016); </w:t>
      </w:r>
      <w:r>
        <w:rPr>
          <w:i/>
        </w:rPr>
        <w:t>State v. Hargis</w:t>
      </w:r>
      <w:r>
        <w:t xml:space="preserve">, 294 Ga. 818, 821-822 (2014); </w:t>
      </w:r>
      <w:r>
        <w:rPr>
          <w:i/>
        </w:rPr>
        <w:t>GeorgiaCarry.Org, Inc. v. James</w:t>
      </w:r>
      <w:r>
        <w:t xml:space="preserve">, 298 Ga. 420, 421 (2016); </w:t>
      </w:r>
      <w:r>
        <w:rPr>
          <w:i/>
        </w:rPr>
        <w:t>Henderson v. State</w:t>
      </w:r>
      <w:r>
        <w:t>, 295 Ga. 333, 335 (2014).</w:t>
      </w:r>
    </w:p>
  </w:footnote>
  <w:footnote w:id="12">
    <w:p w14:paraId="0B5C0E1F" w14:textId="4AEB2E15" w:rsidR="00872C28" w:rsidRDefault="00872C28" w:rsidP="00872C28">
      <w:pPr>
        <w:pStyle w:val="FootnoteText"/>
      </w:pPr>
      <w:r>
        <w:rPr>
          <w:rStyle w:val="FootnoteReference"/>
        </w:rPr>
        <w:footnoteRef/>
      </w:r>
      <w:r>
        <w:t xml:space="preserve"> USCR 25.1.</w:t>
      </w:r>
    </w:p>
  </w:footnote>
  <w:footnote w:id="13">
    <w:p w14:paraId="4B8A6F06" w14:textId="3B53C5BA" w:rsidR="001E1101" w:rsidRDefault="001E1101" w:rsidP="001E1101">
      <w:pPr>
        <w:pStyle w:val="FootnoteText"/>
      </w:pPr>
      <w:r>
        <w:rPr>
          <w:rStyle w:val="FootnoteReference"/>
        </w:rPr>
        <w:footnoteRef/>
      </w:r>
      <w:r>
        <w:t xml:space="preserve"> USCR 25.2.</w:t>
      </w:r>
    </w:p>
  </w:footnote>
  <w:footnote w:id="14">
    <w:p w14:paraId="18D223F5" w14:textId="77777777" w:rsidR="001E1101" w:rsidRDefault="001E1101" w:rsidP="001E1101">
      <w:pPr>
        <w:pStyle w:val="FootnoteText"/>
      </w:pPr>
      <w:r>
        <w:rPr>
          <w:rStyle w:val="FootnoteReference"/>
        </w:rPr>
        <w:footnoteRef/>
      </w:r>
      <w:r>
        <w:t xml:space="preserve"> </w:t>
      </w:r>
      <w:proofErr w:type="spellStart"/>
      <w:r>
        <w:rPr>
          <w:i/>
        </w:rPr>
        <w:t>Birt</w:t>
      </w:r>
      <w:proofErr w:type="spellEnd"/>
      <w:r>
        <w:rPr>
          <w:i/>
        </w:rPr>
        <w:t xml:space="preserve"> v. State</w:t>
      </w:r>
      <w:r>
        <w:t xml:space="preserve">, 256 Ga. 483, 484-485 (1986); </w:t>
      </w:r>
      <w:r>
        <w:rPr>
          <w:i/>
        </w:rPr>
        <w:t>Hunnicutt v. Hunnicutt</w:t>
      </w:r>
      <w:r>
        <w:t xml:space="preserve">, 248 Ga. 516 (1981); </w:t>
      </w:r>
      <w:r>
        <w:rPr>
          <w:i/>
        </w:rPr>
        <w:t>State v. Fleming</w:t>
      </w:r>
      <w:r>
        <w:t>, 245 Ga. 700, 702 (1980).</w:t>
      </w:r>
    </w:p>
  </w:footnote>
  <w:footnote w:id="15">
    <w:p w14:paraId="50BA1B43" w14:textId="77777777" w:rsidR="001E1101" w:rsidRPr="006145F2" w:rsidRDefault="001E1101" w:rsidP="001E1101">
      <w:pPr>
        <w:pStyle w:val="FootnoteText"/>
      </w:pPr>
      <w:r>
        <w:rPr>
          <w:rStyle w:val="FootnoteReference"/>
        </w:rPr>
        <w:footnoteRef/>
      </w:r>
      <w:r>
        <w:t xml:space="preserve"> </w:t>
      </w:r>
      <w:r>
        <w:rPr>
          <w:i/>
        </w:rPr>
        <w:t>Post v. State</w:t>
      </w:r>
      <w:r>
        <w:t>, 298 Ga. 241, 243 (2015).</w:t>
      </w:r>
    </w:p>
  </w:footnote>
  <w:footnote w:id="16">
    <w:p w14:paraId="0EB4A818" w14:textId="77777777" w:rsidR="001E1101" w:rsidRPr="00556A15" w:rsidRDefault="001E1101" w:rsidP="001E1101">
      <w:pPr>
        <w:pStyle w:val="FootnoteText"/>
      </w:pPr>
      <w:r>
        <w:rPr>
          <w:rStyle w:val="FootnoteReference"/>
        </w:rPr>
        <w:footnoteRef/>
      </w:r>
      <w:r>
        <w:t xml:space="preserve"> </w:t>
      </w:r>
      <w:proofErr w:type="spellStart"/>
      <w:r>
        <w:rPr>
          <w:i/>
        </w:rPr>
        <w:t>Birt</w:t>
      </w:r>
      <w:proofErr w:type="spellEnd"/>
      <w:r>
        <w:rPr>
          <w:i/>
        </w:rPr>
        <w:t xml:space="preserve"> v. State</w:t>
      </w:r>
      <w:r>
        <w:t>, 256 Ga. 483, 485 (1986).</w:t>
      </w:r>
    </w:p>
  </w:footnote>
  <w:footnote w:id="17">
    <w:p w14:paraId="19E9977C" w14:textId="375A9DDD" w:rsidR="001E1101" w:rsidRDefault="001E1101" w:rsidP="001E1101">
      <w:pPr>
        <w:pStyle w:val="FootnoteText"/>
      </w:pPr>
      <w:r>
        <w:rPr>
          <w:rStyle w:val="FootnoteReference"/>
        </w:rPr>
        <w:footnoteRef/>
      </w:r>
      <w:r>
        <w:t xml:space="preserve"> USCR 25.3.</w:t>
      </w:r>
    </w:p>
  </w:footnote>
  <w:footnote w:id="18">
    <w:p w14:paraId="31652B64" w14:textId="2A66F5A9" w:rsidR="001E1101" w:rsidRDefault="001E1101" w:rsidP="001E1101">
      <w:pPr>
        <w:pStyle w:val="FootnoteText"/>
      </w:pPr>
      <w:r>
        <w:rPr>
          <w:rStyle w:val="FootnoteReference"/>
        </w:rPr>
        <w:footnoteRef/>
      </w:r>
      <w:r>
        <w:t xml:space="preserve"> USCR 25.3.  Rule 25.4 sets forth the manner in which the “hearing judge” should be selected/appointed in great detail.</w:t>
      </w:r>
    </w:p>
  </w:footnote>
  <w:footnote w:id="19">
    <w:p w14:paraId="113E6FC7" w14:textId="5A35584C" w:rsidR="001E1101" w:rsidRPr="00036180" w:rsidRDefault="001E1101" w:rsidP="001E1101">
      <w:pPr>
        <w:pStyle w:val="FootnoteText"/>
      </w:pPr>
      <w:r>
        <w:rPr>
          <w:rStyle w:val="FootnoteReference"/>
        </w:rPr>
        <w:footnoteRef/>
      </w:r>
      <w:r>
        <w:t xml:space="preserve"> </w:t>
      </w:r>
      <w:proofErr w:type="spellStart"/>
      <w:r>
        <w:rPr>
          <w:i/>
        </w:rPr>
        <w:t>Daker</w:t>
      </w:r>
      <w:proofErr w:type="spellEnd"/>
      <w:r>
        <w:rPr>
          <w:i/>
        </w:rPr>
        <w:t xml:space="preserve"> v. State</w:t>
      </w:r>
      <w:r>
        <w:t xml:space="preserve">, </w:t>
      </w:r>
      <w:r w:rsidR="00450398">
        <w:t xml:space="preserve">300 Ga. 74 (2016); </w:t>
      </w:r>
      <w:r>
        <w:t xml:space="preserve">citing </w:t>
      </w:r>
      <w:r>
        <w:rPr>
          <w:i/>
        </w:rPr>
        <w:t>Mayor &amp; Aldermen of City of Savannah v. Batson-Cook</w:t>
      </w:r>
      <w:r>
        <w:t>, 291 Ga. 114, 116 (2012).</w:t>
      </w:r>
    </w:p>
  </w:footnote>
  <w:footnote w:id="20">
    <w:p w14:paraId="2352CD9B" w14:textId="77777777" w:rsidR="001E1101" w:rsidRPr="004D35E0" w:rsidRDefault="001E1101" w:rsidP="001E1101">
      <w:pPr>
        <w:pStyle w:val="FootnoteText"/>
      </w:pPr>
      <w:r>
        <w:rPr>
          <w:rStyle w:val="FootnoteReference"/>
        </w:rPr>
        <w:footnoteRef/>
      </w:r>
      <w:r>
        <w:t xml:space="preserve"> </w:t>
      </w:r>
      <w:r>
        <w:rPr>
          <w:i/>
        </w:rPr>
        <w:t>Mayor &amp; Aldermen of City of Savannah v. Batson-Cook</w:t>
      </w:r>
      <w:r>
        <w:t xml:space="preserve">, 291 Ga. 114, 119 (2012); </w:t>
      </w:r>
      <w:r>
        <w:rPr>
          <w:i/>
        </w:rPr>
        <w:t xml:space="preserve">Henderson v. </w:t>
      </w:r>
      <w:proofErr w:type="spellStart"/>
      <w:r>
        <w:rPr>
          <w:i/>
        </w:rPr>
        <w:t>McVay</w:t>
      </w:r>
      <w:proofErr w:type="spellEnd"/>
      <w:r>
        <w:t>, 269 Ga. 7 (1998).</w:t>
      </w:r>
    </w:p>
  </w:footnote>
  <w:footnote w:id="21">
    <w:p w14:paraId="3AA68282" w14:textId="77777777" w:rsidR="001E1101" w:rsidRPr="00BC7F41" w:rsidRDefault="001E1101" w:rsidP="001E1101">
      <w:pPr>
        <w:pStyle w:val="FootnoteText"/>
      </w:pPr>
      <w:r>
        <w:rPr>
          <w:rStyle w:val="FootnoteReference"/>
        </w:rPr>
        <w:footnoteRef/>
      </w:r>
      <w:r>
        <w:t xml:space="preserve"> </w:t>
      </w:r>
      <w:r>
        <w:rPr>
          <w:i/>
        </w:rPr>
        <w:t xml:space="preserve">Price v. </w:t>
      </w:r>
      <w:proofErr w:type="spellStart"/>
      <w:r>
        <w:rPr>
          <w:i/>
        </w:rPr>
        <w:t>Reish</w:t>
      </w:r>
      <w:proofErr w:type="spellEnd"/>
      <w:r>
        <w:t>, 335 Ga. App. 491, 494-495 (2015).</w:t>
      </w:r>
    </w:p>
  </w:footnote>
  <w:footnote w:id="22">
    <w:p w14:paraId="20E98ED8" w14:textId="77777777" w:rsidR="001E1101" w:rsidRPr="00D21477" w:rsidRDefault="001E1101" w:rsidP="001E1101">
      <w:pPr>
        <w:pStyle w:val="FootnoteText"/>
      </w:pPr>
      <w:r>
        <w:rPr>
          <w:rStyle w:val="FootnoteReference"/>
        </w:rPr>
        <w:footnoteRef/>
      </w:r>
      <w:r>
        <w:t xml:space="preserve"> </w:t>
      </w:r>
      <w:r>
        <w:rPr>
          <w:i/>
        </w:rPr>
        <w:t xml:space="preserve">Price v. </w:t>
      </w:r>
      <w:proofErr w:type="spellStart"/>
      <w:r>
        <w:rPr>
          <w:i/>
        </w:rPr>
        <w:t>Reish</w:t>
      </w:r>
      <w:proofErr w:type="spellEnd"/>
      <w:r>
        <w:t>, 335 Ga. App. 491, 495 (2015).</w:t>
      </w:r>
    </w:p>
  </w:footnote>
  <w:footnote w:id="23">
    <w:p w14:paraId="1E24012A" w14:textId="7E66DFD2" w:rsidR="003606D7" w:rsidRPr="00080B81" w:rsidRDefault="003606D7" w:rsidP="003606D7">
      <w:pPr>
        <w:pStyle w:val="FootnoteText"/>
      </w:pPr>
      <w:r>
        <w:rPr>
          <w:rStyle w:val="FootnoteReference"/>
        </w:rPr>
        <w:footnoteRef/>
      </w:r>
      <w:r>
        <w:t xml:space="preserve"> </w:t>
      </w:r>
      <w:r>
        <w:rPr>
          <w:i/>
        </w:rPr>
        <w:t>Patel v. State</w:t>
      </w:r>
      <w:r>
        <w:t xml:space="preserve">, 289 Ga. 479, 486-487 (2011);  </w:t>
      </w:r>
      <w:proofErr w:type="spellStart"/>
      <w:r>
        <w:rPr>
          <w:i/>
        </w:rPr>
        <w:t>Daker</w:t>
      </w:r>
      <w:proofErr w:type="spellEnd"/>
      <w:r>
        <w:rPr>
          <w:i/>
        </w:rPr>
        <w:t xml:space="preserve"> v. State</w:t>
      </w:r>
      <w:r>
        <w:t>,</w:t>
      </w:r>
      <w:r w:rsidR="008F5115">
        <w:t xml:space="preserve"> </w:t>
      </w:r>
      <w:r w:rsidR="008F5115">
        <w:t>300 Ga. 74 (2016)</w:t>
      </w:r>
      <w:r>
        <w:t xml:space="preserve">;  </w:t>
      </w:r>
      <w:r>
        <w:rPr>
          <w:i/>
        </w:rPr>
        <w:t>Berry v. State</w:t>
      </w:r>
      <w:r>
        <w:t>, 267 Ga, 605 (1997).</w:t>
      </w:r>
    </w:p>
  </w:footnote>
  <w:footnote w:id="24">
    <w:p w14:paraId="4BB47589" w14:textId="4BA56EE7" w:rsidR="00671120" w:rsidRPr="00922E7F" w:rsidRDefault="00671120" w:rsidP="00671120">
      <w:pPr>
        <w:pStyle w:val="FootnoteText"/>
      </w:pPr>
      <w:r>
        <w:rPr>
          <w:rStyle w:val="FootnoteReference"/>
        </w:rPr>
        <w:footnoteRef/>
      </w:r>
      <w:r>
        <w:t xml:space="preserve"> USCR 25.3; </w:t>
      </w:r>
      <w:r>
        <w:rPr>
          <w:i/>
        </w:rPr>
        <w:t>Post v. State</w:t>
      </w:r>
      <w:r>
        <w:t>, 298 Ga. 241, 243 (2015).</w:t>
      </w:r>
    </w:p>
  </w:footnote>
  <w:footnote w:id="25">
    <w:p w14:paraId="650DEC92" w14:textId="249C7840" w:rsidR="00671120" w:rsidRDefault="00671120" w:rsidP="00671120">
      <w:pPr>
        <w:pStyle w:val="FootnoteText"/>
      </w:pPr>
      <w:r>
        <w:rPr>
          <w:rStyle w:val="FootnoteReference"/>
        </w:rPr>
        <w:footnoteRef/>
      </w:r>
      <w:r>
        <w:t xml:space="preserve"> USCR 25.6.</w:t>
      </w:r>
    </w:p>
  </w:footnote>
  <w:footnote w:id="26">
    <w:p w14:paraId="62399B24" w14:textId="21BDEB0C" w:rsidR="00671120" w:rsidRDefault="00671120" w:rsidP="00671120">
      <w:pPr>
        <w:pStyle w:val="FootnoteText"/>
      </w:pPr>
      <w:r>
        <w:rPr>
          <w:rStyle w:val="FootnoteReference"/>
        </w:rPr>
        <w:footnoteRef/>
      </w:r>
      <w:r>
        <w:t xml:space="preserve"> USCR 25.6.</w:t>
      </w:r>
    </w:p>
  </w:footnote>
  <w:footnote w:id="27">
    <w:p w14:paraId="5701A8D1" w14:textId="0FA099F1" w:rsidR="00671120" w:rsidRDefault="00671120" w:rsidP="00671120">
      <w:pPr>
        <w:pStyle w:val="FootnoteText"/>
      </w:pPr>
      <w:r>
        <w:rPr>
          <w:rStyle w:val="FootnoteReference"/>
        </w:rPr>
        <w:footnoteRef/>
      </w:r>
      <w:r>
        <w:t xml:space="preserve"> USCR 25.7.</w:t>
      </w:r>
    </w:p>
  </w:footnote>
  <w:footnote w:id="28">
    <w:p w14:paraId="317EEF43" w14:textId="77777777" w:rsidR="00671120" w:rsidRPr="00064835" w:rsidRDefault="00671120" w:rsidP="00671120">
      <w:pPr>
        <w:pStyle w:val="FootnoteText"/>
      </w:pPr>
      <w:r>
        <w:rPr>
          <w:rStyle w:val="FootnoteReference"/>
        </w:rPr>
        <w:footnoteRef/>
      </w:r>
      <w:r>
        <w:t xml:space="preserve"> </w:t>
      </w:r>
      <w:r>
        <w:rPr>
          <w:i/>
        </w:rPr>
        <w:t>Battle v. State</w:t>
      </w:r>
      <w:r>
        <w:t xml:space="preserve">, 298 Ga. 661, n.3 (2016); </w:t>
      </w:r>
      <w:r>
        <w:rPr>
          <w:i/>
        </w:rPr>
        <w:t>Ellicott  v. State</w:t>
      </w:r>
      <w:r>
        <w:t>, 320 Ga. App. 729, 734-735 (2013).</w:t>
      </w:r>
    </w:p>
  </w:footnote>
  <w:footnote w:id="29">
    <w:p w14:paraId="6DAD9A8E" w14:textId="3CD383E2" w:rsidR="00671120" w:rsidRPr="00A22C32" w:rsidRDefault="00671120" w:rsidP="00671120">
      <w:pPr>
        <w:pStyle w:val="FootnoteText"/>
      </w:pPr>
      <w:r>
        <w:rPr>
          <w:rStyle w:val="FootnoteReference"/>
        </w:rPr>
        <w:footnoteRef/>
      </w:r>
      <w:r>
        <w:t xml:space="preserve"> </w:t>
      </w:r>
      <w:r>
        <w:rPr>
          <w:i/>
        </w:rPr>
        <w:t>Lemming v. State</w:t>
      </w:r>
      <w:r>
        <w:t>, 292 Ga App. 138, 141 (2008)</w:t>
      </w:r>
      <w:r w:rsidR="00A22C32">
        <w:t xml:space="preserve">; </w:t>
      </w:r>
      <w:r w:rsidR="00A22C32">
        <w:rPr>
          <w:i/>
          <w:iCs/>
        </w:rPr>
        <w:t>Shelton v. State</w:t>
      </w:r>
      <w:r w:rsidR="00A22C32">
        <w:t>, 350 Ga. App. 774, 782 (2019).</w:t>
      </w:r>
    </w:p>
  </w:footnote>
  <w:footnote w:id="30">
    <w:p w14:paraId="31B02E2A" w14:textId="21B3B246" w:rsidR="00A22C32" w:rsidRDefault="00A22C32">
      <w:pPr>
        <w:pStyle w:val="FootnoteText"/>
      </w:pPr>
      <w:r>
        <w:rPr>
          <w:rStyle w:val="FootnoteReference"/>
        </w:rPr>
        <w:footnoteRef/>
      </w:r>
      <w:r>
        <w:t xml:space="preserve"> </w:t>
      </w:r>
      <w:r>
        <w:rPr>
          <w:i/>
          <w:iCs/>
        </w:rPr>
        <w:t>Shelton v. State</w:t>
      </w:r>
      <w:r>
        <w:t>, 350 Ga. App. 774, 782 (2019).</w:t>
      </w:r>
    </w:p>
  </w:footnote>
  <w:footnote w:id="31">
    <w:p w14:paraId="2374C208" w14:textId="5DDBB0C8" w:rsidR="0030148F" w:rsidRPr="0030148F" w:rsidRDefault="0030148F">
      <w:pPr>
        <w:pStyle w:val="FootnoteText"/>
      </w:pPr>
      <w:r>
        <w:rPr>
          <w:rStyle w:val="FootnoteReference"/>
        </w:rPr>
        <w:footnoteRef/>
      </w:r>
      <w:r>
        <w:t xml:space="preserve"> </w:t>
      </w:r>
      <w:proofErr w:type="spellStart"/>
      <w:r>
        <w:rPr>
          <w:i/>
          <w:iCs/>
        </w:rPr>
        <w:t>Serdula</w:t>
      </w:r>
      <w:proofErr w:type="spellEnd"/>
      <w:r>
        <w:rPr>
          <w:i/>
          <w:iCs/>
        </w:rPr>
        <w:t xml:space="preserve"> v. State</w:t>
      </w:r>
      <w:r>
        <w:t>, 344 Ga. App. 587, 590 (2018).</w:t>
      </w:r>
    </w:p>
  </w:footnote>
  <w:footnote w:id="32">
    <w:p w14:paraId="0017B78C" w14:textId="59316276" w:rsidR="005315B6" w:rsidRPr="005315B6" w:rsidRDefault="005315B6">
      <w:pPr>
        <w:pStyle w:val="FootnoteText"/>
      </w:pPr>
      <w:r>
        <w:rPr>
          <w:rStyle w:val="FootnoteReference"/>
        </w:rPr>
        <w:footnoteRef/>
      </w:r>
      <w:r>
        <w:t xml:space="preserve"> </w:t>
      </w:r>
      <w:proofErr w:type="spellStart"/>
      <w:r>
        <w:rPr>
          <w:i/>
          <w:iCs/>
        </w:rPr>
        <w:t>Mondy</w:t>
      </w:r>
      <w:proofErr w:type="spellEnd"/>
      <w:r>
        <w:rPr>
          <w:i/>
          <w:iCs/>
        </w:rPr>
        <w:t xml:space="preserve"> v. Magnolia Advanced Materials, Inc.</w:t>
      </w:r>
      <w:r>
        <w:t>, 303 Ga. 764, 775 (2018).</w:t>
      </w:r>
    </w:p>
  </w:footnote>
  <w:footnote w:id="33">
    <w:p w14:paraId="5CC9D1B2" w14:textId="77777777" w:rsidR="0016714D" w:rsidRPr="00EF66EF" w:rsidRDefault="0016714D" w:rsidP="0016714D">
      <w:pPr>
        <w:pStyle w:val="FootnoteText"/>
      </w:pPr>
      <w:r>
        <w:rPr>
          <w:rStyle w:val="FootnoteReference"/>
        </w:rPr>
        <w:footnoteRef/>
      </w:r>
      <w:r>
        <w:t xml:space="preserve"> </w:t>
      </w:r>
      <w:r>
        <w:rPr>
          <w:i/>
        </w:rPr>
        <w:t>Battle v. State</w:t>
      </w:r>
      <w:r>
        <w:t>, 298 Ga. 661, 666 (2016).</w:t>
      </w:r>
    </w:p>
  </w:footnote>
  <w:footnote w:id="34">
    <w:p w14:paraId="457E90F3" w14:textId="77777777" w:rsidR="0016714D" w:rsidRPr="00EF66EF" w:rsidRDefault="0016714D" w:rsidP="0016714D">
      <w:pPr>
        <w:pStyle w:val="FootnoteText"/>
      </w:pPr>
      <w:r>
        <w:rPr>
          <w:rStyle w:val="FootnoteReference"/>
        </w:rPr>
        <w:footnoteRef/>
      </w:r>
      <w:r>
        <w:t xml:space="preserve"> </w:t>
      </w:r>
      <w:r>
        <w:rPr>
          <w:i/>
        </w:rPr>
        <w:t>Battle v. State</w:t>
      </w:r>
      <w:r>
        <w:t>, 298 Ga. 661, 666 (2016).</w:t>
      </w:r>
    </w:p>
  </w:footnote>
  <w:footnote w:id="35">
    <w:p w14:paraId="717A8CA7" w14:textId="75E8C273" w:rsidR="003606D7" w:rsidRPr="00A3299C" w:rsidRDefault="003606D7" w:rsidP="003606D7">
      <w:pPr>
        <w:pStyle w:val="FootnoteText"/>
      </w:pPr>
      <w:r>
        <w:rPr>
          <w:rStyle w:val="FootnoteReference"/>
        </w:rPr>
        <w:footnoteRef/>
      </w:r>
      <w:r>
        <w:t xml:space="preserve"> </w:t>
      </w:r>
      <w:r>
        <w:rPr>
          <w:i/>
        </w:rPr>
        <w:t>Marlow v. State</w:t>
      </w:r>
      <w:r>
        <w:t xml:space="preserve">, </w:t>
      </w:r>
      <w:r>
        <w:t xml:space="preserve">339 Ga. App. </w:t>
      </w:r>
      <w:r w:rsidR="00483C7D">
        <w:t>790 (2016).</w:t>
      </w:r>
    </w:p>
  </w:footnote>
  <w:footnote w:id="36">
    <w:p w14:paraId="0572E067" w14:textId="4F6CDF9D" w:rsidR="003606D7" w:rsidRDefault="003606D7" w:rsidP="003606D7">
      <w:pPr>
        <w:pStyle w:val="FootnoteText"/>
      </w:pPr>
      <w:r>
        <w:rPr>
          <w:rStyle w:val="FootnoteReference"/>
        </w:rPr>
        <w:footnoteRef/>
      </w:r>
      <w:r>
        <w:t xml:space="preserve"> </w:t>
      </w:r>
      <w:r>
        <w:rPr>
          <w:i/>
        </w:rPr>
        <w:t>Marlow v. State</w:t>
      </w:r>
      <w:r>
        <w:t xml:space="preserve">, </w:t>
      </w:r>
      <w:r w:rsidR="00483C7D">
        <w:t>339 Ga. App. 790</w:t>
      </w:r>
      <w:r w:rsidR="00483C7D">
        <w:t xml:space="preserve"> (</w:t>
      </w:r>
      <w:r>
        <w:t>2016</w:t>
      </w:r>
      <w:r w:rsidR="00483C7D">
        <w:t xml:space="preserve">) </w:t>
      </w:r>
    </w:p>
  </w:footnote>
  <w:footnote w:id="37">
    <w:p w14:paraId="23177B1A" w14:textId="77777777" w:rsidR="003606D7" w:rsidRPr="00A3299C" w:rsidRDefault="003606D7" w:rsidP="003606D7">
      <w:pPr>
        <w:pStyle w:val="FootnoteText"/>
      </w:pPr>
      <w:r>
        <w:rPr>
          <w:rStyle w:val="FootnoteReference"/>
        </w:rPr>
        <w:footnoteRef/>
      </w:r>
      <w:r>
        <w:t xml:space="preserve"> </w:t>
      </w:r>
      <w:r>
        <w:rPr>
          <w:i/>
        </w:rPr>
        <w:t>Turner v. State</w:t>
      </w:r>
      <w:r>
        <w:t>, 280 Ga. 174, 175 (2006).</w:t>
      </w:r>
    </w:p>
  </w:footnote>
  <w:footnote w:id="38">
    <w:p w14:paraId="56DA6A50" w14:textId="77777777" w:rsidR="003606D7" w:rsidRPr="00D63152" w:rsidRDefault="003606D7" w:rsidP="003606D7">
      <w:pPr>
        <w:pStyle w:val="FootnoteText"/>
      </w:pPr>
      <w:r>
        <w:rPr>
          <w:rStyle w:val="FootnoteReference"/>
        </w:rPr>
        <w:footnoteRef/>
      </w:r>
      <w:r>
        <w:t xml:space="preserve"> </w:t>
      </w:r>
      <w:r>
        <w:rPr>
          <w:i/>
        </w:rPr>
        <w:t>Smith v. State</w:t>
      </w:r>
      <w:r>
        <w:t>, 189 Ga. App. 27, 32 (1988).</w:t>
      </w:r>
    </w:p>
  </w:footnote>
  <w:footnote w:id="39">
    <w:p w14:paraId="6BB00B44" w14:textId="0F01749F" w:rsidR="00541718" w:rsidRPr="00541718" w:rsidRDefault="00541718">
      <w:pPr>
        <w:pStyle w:val="FootnoteText"/>
      </w:pPr>
      <w:r>
        <w:rPr>
          <w:rStyle w:val="FootnoteReference"/>
        </w:rPr>
        <w:footnoteRef/>
      </w:r>
      <w:r>
        <w:t xml:space="preserve"> </w:t>
      </w:r>
      <w:r>
        <w:rPr>
          <w:i/>
          <w:iCs/>
        </w:rPr>
        <w:t>Shelton v. State</w:t>
      </w:r>
      <w:r>
        <w:t>, 350 Ga. App. 774, 78</w:t>
      </w:r>
      <w:r>
        <w:t>3</w:t>
      </w:r>
      <w:r>
        <w:t xml:space="preserve"> (2019)</w:t>
      </w:r>
      <w:r>
        <w:t xml:space="preserve"> (In </w:t>
      </w:r>
      <w:r>
        <w:rPr>
          <w:i/>
          <w:iCs/>
        </w:rPr>
        <w:t>Shelton</w:t>
      </w:r>
      <w:r>
        <w:t>), the defendant did not raise the issue until after the trial and, on appeal, was claiming “plain error.”</w:t>
      </w:r>
    </w:p>
  </w:footnote>
  <w:footnote w:id="40">
    <w:p w14:paraId="5631C4C6" w14:textId="3D63DCE6" w:rsidR="0043222B" w:rsidRPr="0043222B" w:rsidRDefault="0043222B">
      <w:pPr>
        <w:pStyle w:val="FootnoteText"/>
      </w:pPr>
      <w:r>
        <w:rPr>
          <w:rStyle w:val="FootnoteReference"/>
        </w:rPr>
        <w:footnoteRef/>
      </w:r>
      <w:r>
        <w:t xml:space="preserve"> </w:t>
      </w:r>
      <w:proofErr w:type="spellStart"/>
      <w:r>
        <w:rPr>
          <w:i/>
          <w:iCs/>
        </w:rPr>
        <w:t>Mondy</w:t>
      </w:r>
      <w:proofErr w:type="spellEnd"/>
      <w:r>
        <w:rPr>
          <w:i/>
          <w:iCs/>
        </w:rPr>
        <w:t xml:space="preserve"> v. Magnolia Advanced Materials, Inc.</w:t>
      </w:r>
      <w:r>
        <w:t>, 303 Ga. 764, 774 (2018).</w:t>
      </w:r>
    </w:p>
  </w:footnote>
  <w:footnote w:id="41">
    <w:p w14:paraId="3C81366E" w14:textId="77777777" w:rsidR="00541718" w:rsidRDefault="00541718" w:rsidP="00541718">
      <w:pPr>
        <w:pStyle w:val="FootnoteText"/>
      </w:pPr>
      <w:r>
        <w:rPr>
          <w:rStyle w:val="FootnoteReference"/>
        </w:rPr>
        <w:footnoteRef/>
      </w:r>
      <w:r>
        <w:t xml:space="preserve"> </w:t>
      </w:r>
      <w:proofErr w:type="spellStart"/>
      <w:r>
        <w:rPr>
          <w:i/>
        </w:rPr>
        <w:t>Gude</w:t>
      </w:r>
      <w:proofErr w:type="spellEnd"/>
      <w:r>
        <w:rPr>
          <w:i/>
        </w:rPr>
        <w:t xml:space="preserve"> v. State</w:t>
      </w:r>
      <w:r>
        <w:t xml:space="preserve">, 289 Ga. 46, 48 (2011); citing </w:t>
      </w:r>
      <w:r>
        <w:rPr>
          <w:i/>
        </w:rPr>
        <w:t>King  v. State</w:t>
      </w:r>
      <w:r>
        <w:t>, 246 Ga. 386 (1980).</w:t>
      </w:r>
    </w:p>
  </w:footnote>
  <w:footnote w:id="42">
    <w:p w14:paraId="4411E856" w14:textId="77777777" w:rsidR="00541718" w:rsidRPr="005C3CBA" w:rsidRDefault="00541718" w:rsidP="00541718">
      <w:pPr>
        <w:pStyle w:val="FootnoteText"/>
      </w:pPr>
      <w:r>
        <w:rPr>
          <w:rStyle w:val="FootnoteReference"/>
        </w:rPr>
        <w:footnoteRef/>
      </w:r>
      <w:r>
        <w:t xml:space="preserve"> </w:t>
      </w:r>
      <w:proofErr w:type="spellStart"/>
      <w:r>
        <w:rPr>
          <w:i/>
        </w:rPr>
        <w:t>Gude</w:t>
      </w:r>
      <w:proofErr w:type="spellEnd"/>
      <w:r>
        <w:rPr>
          <w:i/>
        </w:rPr>
        <w:t xml:space="preserve"> v. State</w:t>
      </w:r>
      <w:r>
        <w:t>, 289 Ga. 46, 48 (2011).</w:t>
      </w:r>
    </w:p>
  </w:footnote>
  <w:footnote w:id="43">
    <w:p w14:paraId="183258A5" w14:textId="77777777" w:rsidR="00541718" w:rsidRPr="00BB45AD" w:rsidRDefault="00541718" w:rsidP="00541718">
      <w:pPr>
        <w:pStyle w:val="FootnoteText"/>
      </w:pPr>
      <w:r>
        <w:rPr>
          <w:rStyle w:val="FootnoteReference"/>
        </w:rPr>
        <w:footnoteRef/>
      </w:r>
      <w:r>
        <w:t xml:space="preserve"> </w:t>
      </w:r>
      <w:proofErr w:type="spellStart"/>
      <w:r>
        <w:rPr>
          <w:i/>
        </w:rPr>
        <w:t>Gude</w:t>
      </w:r>
      <w:proofErr w:type="spellEnd"/>
      <w:r>
        <w:rPr>
          <w:i/>
        </w:rPr>
        <w:t xml:space="preserve"> v. State</w:t>
      </w:r>
      <w:r>
        <w:t xml:space="preserve">, 289 Ga. 46, 49 (2011); </w:t>
      </w:r>
      <w:r>
        <w:rPr>
          <w:i/>
        </w:rPr>
        <w:t>Post v. State</w:t>
      </w:r>
      <w:r>
        <w:t>, 298 Ga. 241, 248 (2015).</w:t>
      </w:r>
    </w:p>
  </w:footnote>
  <w:footnote w:id="44">
    <w:p w14:paraId="5E7F66B0" w14:textId="77777777" w:rsidR="00541718" w:rsidRPr="000957AD" w:rsidRDefault="00541718" w:rsidP="00541718">
      <w:pPr>
        <w:pStyle w:val="FootnoteText"/>
      </w:pPr>
      <w:r>
        <w:rPr>
          <w:rStyle w:val="FootnoteReference"/>
        </w:rPr>
        <w:footnoteRef/>
      </w:r>
      <w:r>
        <w:t xml:space="preserve"> </w:t>
      </w:r>
      <w:proofErr w:type="spellStart"/>
      <w:r>
        <w:rPr>
          <w:i/>
        </w:rPr>
        <w:t>Gude</w:t>
      </w:r>
      <w:proofErr w:type="spellEnd"/>
      <w:r>
        <w:rPr>
          <w:i/>
        </w:rPr>
        <w:t xml:space="preserve"> v. State</w:t>
      </w:r>
      <w:r>
        <w:t>, 289 Ga. 46, 49-50 (2011).</w:t>
      </w:r>
    </w:p>
  </w:footnote>
  <w:footnote w:id="45">
    <w:p w14:paraId="23C73487" w14:textId="77777777" w:rsidR="00A23621" w:rsidRPr="00AE4E1A" w:rsidRDefault="00A23621" w:rsidP="00A23621">
      <w:pPr>
        <w:pStyle w:val="FootnoteText"/>
      </w:pPr>
      <w:r>
        <w:rPr>
          <w:rStyle w:val="FootnoteReference"/>
        </w:rPr>
        <w:footnoteRef/>
      </w:r>
      <w:r>
        <w:t xml:space="preserve"> </w:t>
      </w:r>
      <w:proofErr w:type="spellStart"/>
      <w:r>
        <w:rPr>
          <w:i/>
        </w:rPr>
        <w:t>Gude</w:t>
      </w:r>
      <w:proofErr w:type="spellEnd"/>
      <w:r>
        <w:rPr>
          <w:i/>
        </w:rPr>
        <w:t xml:space="preserve"> v. State</w:t>
      </w:r>
      <w:r>
        <w:t>, 289 Ga. 46, 48-49 (2011).</w:t>
      </w:r>
    </w:p>
  </w:footnote>
  <w:footnote w:id="46">
    <w:p w14:paraId="05FD2519" w14:textId="77777777" w:rsidR="00A23621" w:rsidRPr="00AE4E1A" w:rsidRDefault="00A23621" w:rsidP="00A23621">
      <w:pPr>
        <w:pStyle w:val="FootnoteText"/>
      </w:pPr>
      <w:r>
        <w:rPr>
          <w:rStyle w:val="FootnoteReference"/>
        </w:rPr>
        <w:footnoteRef/>
      </w:r>
      <w:r>
        <w:t xml:space="preserve"> </w:t>
      </w:r>
      <w:proofErr w:type="spellStart"/>
      <w:r>
        <w:rPr>
          <w:i/>
        </w:rPr>
        <w:t>Gude</w:t>
      </w:r>
      <w:proofErr w:type="spellEnd"/>
      <w:r>
        <w:rPr>
          <w:i/>
        </w:rPr>
        <w:t xml:space="preserve"> v. State</w:t>
      </w:r>
      <w:r>
        <w:t>, 289 Ga. 46, 49 (2011).</w:t>
      </w:r>
    </w:p>
  </w:footnote>
  <w:footnote w:id="47">
    <w:p w14:paraId="5B84E488" w14:textId="77777777" w:rsidR="00A23621" w:rsidRPr="00F618BE" w:rsidRDefault="00A23621" w:rsidP="00A23621">
      <w:pPr>
        <w:pStyle w:val="FootnoteText"/>
      </w:pPr>
      <w:r>
        <w:rPr>
          <w:rStyle w:val="FootnoteReference"/>
        </w:rPr>
        <w:footnoteRef/>
      </w:r>
      <w:r>
        <w:t xml:space="preserve"> </w:t>
      </w:r>
      <w:proofErr w:type="spellStart"/>
      <w:r>
        <w:rPr>
          <w:i/>
        </w:rPr>
        <w:t>Gude</w:t>
      </w:r>
      <w:proofErr w:type="spellEnd"/>
      <w:r>
        <w:rPr>
          <w:i/>
        </w:rPr>
        <w:t xml:space="preserve"> v. State</w:t>
      </w:r>
      <w:r>
        <w:t>, 289 Ga. 46, 49 (2011).</w:t>
      </w:r>
    </w:p>
  </w:footnote>
  <w:footnote w:id="48">
    <w:p w14:paraId="673DF0CB" w14:textId="77777777" w:rsidR="00A23621" w:rsidRPr="00AC0050" w:rsidRDefault="00A23621" w:rsidP="00A23621">
      <w:pPr>
        <w:pStyle w:val="FootnoteText"/>
      </w:pPr>
      <w:r>
        <w:rPr>
          <w:rStyle w:val="FootnoteReference"/>
        </w:rPr>
        <w:footnoteRef/>
      </w:r>
      <w:r>
        <w:t xml:space="preserve"> </w:t>
      </w:r>
      <w:r>
        <w:rPr>
          <w:i/>
        </w:rPr>
        <w:t>Brown v. State</w:t>
      </w:r>
      <w:r>
        <w:t xml:space="preserve">, 307 Ga. App. 99, 105 (2010); citing </w:t>
      </w:r>
      <w:r>
        <w:rPr>
          <w:i/>
        </w:rPr>
        <w:t>Lemming v. State</w:t>
      </w:r>
      <w:r>
        <w:t>, 292 Ga. App. 138, 141-142 (2008).</w:t>
      </w:r>
    </w:p>
  </w:footnote>
  <w:footnote w:id="49">
    <w:p w14:paraId="4E4B9175" w14:textId="77777777" w:rsidR="00A23621" w:rsidRPr="00AC0050" w:rsidRDefault="00A23621" w:rsidP="00A23621">
      <w:pPr>
        <w:pStyle w:val="FootnoteText"/>
      </w:pPr>
      <w:r>
        <w:rPr>
          <w:rStyle w:val="FootnoteReference"/>
        </w:rPr>
        <w:footnoteRef/>
      </w:r>
      <w:r>
        <w:t xml:space="preserve"> </w:t>
      </w:r>
      <w:r>
        <w:rPr>
          <w:i/>
        </w:rPr>
        <w:t>Lemming v. State</w:t>
      </w:r>
      <w:r>
        <w:t>, 292 Ga. App. 138, 142 (2008).</w:t>
      </w:r>
    </w:p>
  </w:footnote>
  <w:footnote w:id="50">
    <w:p w14:paraId="44181D0E" w14:textId="77777777" w:rsidR="00A23621" w:rsidRPr="00544777" w:rsidRDefault="00A23621" w:rsidP="00A23621">
      <w:pPr>
        <w:pStyle w:val="FootnoteText"/>
      </w:pPr>
      <w:r>
        <w:rPr>
          <w:rStyle w:val="FootnoteReference"/>
        </w:rPr>
        <w:footnoteRef/>
      </w:r>
      <w:r>
        <w:t xml:space="preserve"> </w:t>
      </w:r>
      <w:r>
        <w:rPr>
          <w:i/>
        </w:rPr>
        <w:t>Leverette v. State</w:t>
      </w:r>
      <w:r>
        <w:t>, 291 Ga. 834, 835 (2012).</w:t>
      </w:r>
    </w:p>
  </w:footnote>
  <w:footnote w:id="51">
    <w:p w14:paraId="6C1F7CF9" w14:textId="77777777" w:rsidR="00A23621" w:rsidRPr="007002A0" w:rsidRDefault="00A23621" w:rsidP="00A23621">
      <w:pPr>
        <w:pStyle w:val="FootnoteText"/>
      </w:pPr>
      <w:r>
        <w:rPr>
          <w:rStyle w:val="FootnoteReference"/>
        </w:rPr>
        <w:footnoteRef/>
      </w:r>
      <w:r>
        <w:t xml:space="preserve"> </w:t>
      </w:r>
      <w:r>
        <w:rPr>
          <w:i/>
        </w:rPr>
        <w:t>Rembert v. State</w:t>
      </w:r>
      <w:r>
        <w:t>, 324 Ga. App. 146, 154 (2013).</w:t>
      </w:r>
    </w:p>
  </w:footnote>
  <w:footnote w:id="52">
    <w:p w14:paraId="79D660FD" w14:textId="77777777" w:rsidR="003D3AE7" w:rsidRPr="000F1E67" w:rsidRDefault="003D3AE7" w:rsidP="003D3AE7">
      <w:pPr>
        <w:pStyle w:val="FootnoteText"/>
      </w:pPr>
      <w:r>
        <w:rPr>
          <w:rStyle w:val="FootnoteReference"/>
        </w:rPr>
        <w:footnoteRef/>
      </w:r>
      <w:r>
        <w:t xml:space="preserve"> </w:t>
      </w:r>
      <w:r>
        <w:rPr>
          <w:i/>
        </w:rPr>
        <w:t>Post v. State</w:t>
      </w:r>
      <w:r>
        <w:t>, 298 Ga. 241, 248 (2015).</w:t>
      </w:r>
    </w:p>
  </w:footnote>
  <w:footnote w:id="53">
    <w:p w14:paraId="3053C312" w14:textId="77777777" w:rsidR="003D3AE7" w:rsidRPr="0019414F" w:rsidRDefault="003D3AE7" w:rsidP="003D3AE7">
      <w:pPr>
        <w:pStyle w:val="FootnoteText"/>
      </w:pPr>
      <w:r>
        <w:rPr>
          <w:rStyle w:val="FootnoteReference"/>
        </w:rPr>
        <w:footnoteRef/>
      </w:r>
      <w:r>
        <w:t xml:space="preserve"> </w:t>
      </w:r>
      <w:proofErr w:type="spellStart"/>
      <w:r>
        <w:rPr>
          <w:i/>
        </w:rPr>
        <w:t>Gude</w:t>
      </w:r>
      <w:proofErr w:type="spellEnd"/>
      <w:r>
        <w:rPr>
          <w:i/>
        </w:rPr>
        <w:t xml:space="preserve"> v. State</w:t>
      </w:r>
      <w:r>
        <w:t>, 289 Ga. 46,  50 (2011)</w:t>
      </w:r>
    </w:p>
  </w:footnote>
  <w:footnote w:id="54">
    <w:p w14:paraId="186F5871" w14:textId="77777777" w:rsidR="003D3AE7" w:rsidRPr="000F1E67" w:rsidRDefault="003D3AE7" w:rsidP="003D3AE7">
      <w:pPr>
        <w:pStyle w:val="FootnoteText"/>
      </w:pPr>
      <w:r>
        <w:rPr>
          <w:rStyle w:val="FootnoteReference"/>
        </w:rPr>
        <w:footnoteRef/>
      </w:r>
      <w:r>
        <w:t xml:space="preserve"> </w:t>
      </w:r>
      <w:r>
        <w:rPr>
          <w:i/>
        </w:rPr>
        <w:t>Post v. State</w:t>
      </w:r>
      <w:r>
        <w:t xml:space="preserve">, 298 Ga. 241, 248 (2015); citing </w:t>
      </w:r>
      <w:r>
        <w:rPr>
          <w:i/>
        </w:rPr>
        <w:t>Patterson v. Butler</w:t>
      </w:r>
      <w:r>
        <w:t>, 187 Ga. App. 740, 740-741 (1988).</w:t>
      </w:r>
    </w:p>
  </w:footnote>
  <w:footnote w:id="55">
    <w:p w14:paraId="02A0A4CC" w14:textId="77777777" w:rsidR="003D3AE7" w:rsidRPr="00FA46E2" w:rsidRDefault="003D3AE7" w:rsidP="003D3AE7">
      <w:pPr>
        <w:pStyle w:val="FootnoteText"/>
      </w:pPr>
      <w:r>
        <w:rPr>
          <w:rStyle w:val="FootnoteReference"/>
        </w:rPr>
        <w:footnoteRef/>
      </w:r>
      <w:r>
        <w:t xml:space="preserve"> </w:t>
      </w:r>
      <w:r>
        <w:rPr>
          <w:i/>
        </w:rPr>
        <w:t>Post v. State</w:t>
      </w:r>
      <w:r>
        <w:t>, 298 Ga. 241, 251 (2015).</w:t>
      </w:r>
    </w:p>
  </w:footnote>
  <w:footnote w:id="56">
    <w:p w14:paraId="67DECCFF" w14:textId="77777777" w:rsidR="003D3AE7" w:rsidRPr="00A17E98" w:rsidRDefault="003D3AE7" w:rsidP="003D3AE7">
      <w:pPr>
        <w:pStyle w:val="FootnoteText"/>
      </w:pPr>
      <w:r>
        <w:rPr>
          <w:rStyle w:val="FootnoteReference"/>
        </w:rPr>
        <w:footnoteRef/>
      </w:r>
      <w:r>
        <w:t xml:space="preserve"> </w:t>
      </w:r>
      <w:r>
        <w:rPr>
          <w:i/>
        </w:rPr>
        <w:t>Post v. State</w:t>
      </w:r>
      <w:r>
        <w:t>, 298 Ga. 241, 251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0C39"/>
    <w:multiLevelType w:val="hybridMultilevel"/>
    <w:tmpl w:val="7F3A3228"/>
    <w:lvl w:ilvl="0" w:tplc="FFC60594">
      <w:start w:val="1"/>
      <w:numFmt w:val="decimal"/>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EF4A9F"/>
    <w:multiLevelType w:val="multilevel"/>
    <w:tmpl w:val="008C5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F958AC"/>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4" w15:restartNumberingAfterBreak="0">
    <w:nsid w:val="061F7D34"/>
    <w:multiLevelType w:val="hybridMultilevel"/>
    <w:tmpl w:val="1312F42E"/>
    <w:lvl w:ilvl="0" w:tplc="A6C2F3B6">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3545F3"/>
    <w:multiLevelType w:val="hybridMultilevel"/>
    <w:tmpl w:val="9832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E7F74"/>
    <w:multiLevelType w:val="multilevel"/>
    <w:tmpl w:val="F0A80EEE"/>
    <w:styleLink w:val="BigPaper"/>
    <w:lvl w:ilvl="0">
      <w:start w:val="1"/>
      <w:numFmt w:val="decimal"/>
      <w:lvlText w:val="%1.0"/>
      <w:lvlJc w:val="left"/>
      <w:pPr>
        <w:ind w:left="360" w:hanging="360"/>
      </w:pPr>
      <w:rPr>
        <w:rFonts w:ascii="Times New Roman" w:hAnsi="Times New Roman" w:hint="default"/>
        <w:b/>
        <w:bCs/>
        <w:i w:val="0"/>
        <w:iCs w:val="0"/>
        <w:caps/>
        <w:smallCaps w:val="0"/>
        <w:strike w:val="0"/>
        <w:dstrike w:val="0"/>
        <w:outline w:val="0"/>
        <w:shadow w:val="0"/>
        <w:emboss w:val="0"/>
        <w:imprint w:val="0"/>
        <w:vanish w:val="0"/>
        <w:color w:val="auto"/>
        <w:spacing w:val="0"/>
        <w:kern w:val="0"/>
        <w:position w:val="0"/>
        <w:sz w:val="28"/>
        <w:effect w:val="none"/>
        <w:vertAlign w:val="baseline"/>
        <w:em w:val="none"/>
        <w14:ligatures w14:val="none"/>
        <w14:numForm w14:val="default"/>
        <w14:numSpacing w14:val="default"/>
        <w14:stylisticSets/>
        <w14:cntxtAlts w14:val="0"/>
      </w:rPr>
    </w:lvl>
    <w:lvl w:ilvl="1">
      <w:start w:val="1"/>
      <w:numFmt w:val="decimal"/>
      <w:isLgl/>
      <w:suff w:val="space"/>
      <w:lvlText w:val="%2.1"/>
      <w:lvlJc w:val="left"/>
      <w:pPr>
        <w:ind w:left="1080" w:firstLine="0"/>
      </w:pPr>
      <w:rPr>
        <w:rFonts w:ascii="Times New Roman" w:hAnsi="Times New Roman" w:hint="default"/>
        <w:b/>
        <w:i w:val="0"/>
        <w:caps/>
        <w:strike w:val="0"/>
        <w:dstrike w:val="0"/>
        <w:vanish w:val="0"/>
        <w:color w:val="auto"/>
        <w:sz w:val="24"/>
        <w:vertAlign w:val="baseline"/>
      </w:rPr>
    </w:lvl>
    <w:lvl w:ilvl="2">
      <w:start w:val="1"/>
      <w:numFmt w:val="decimal"/>
      <w:isLgl/>
      <w:suff w:val="space"/>
      <w:lvlText w:val="%3.1.1"/>
      <w:lvlJc w:val="left"/>
      <w:pPr>
        <w:ind w:left="0" w:firstLine="0"/>
      </w:pPr>
      <w:rPr>
        <w:rFonts w:ascii="Times New Roman" w:hAnsi="Times New Roman" w:hint="default"/>
        <w:b/>
        <w:i w:val="0"/>
        <w:caps/>
        <w:strike w:val="0"/>
        <w:dstrike w:val="0"/>
        <w:vanish w:val="0"/>
        <w:color w:val="auto"/>
        <w:sz w:val="24"/>
        <w:vertAlign w:val="baseline"/>
      </w:rPr>
    </w:lvl>
    <w:lvl w:ilvl="3">
      <w:start w:val="1"/>
      <w:numFmt w:val="decimal"/>
      <w:lvlText w:val="(%4)"/>
      <w:lvlJc w:val="left"/>
      <w:pPr>
        <w:tabs>
          <w:tab w:val="num" w:pos="576"/>
        </w:tabs>
        <w:ind w:left="0" w:firstLine="0"/>
      </w:pPr>
      <w:rPr>
        <w:rFonts w:hint="default"/>
      </w:rPr>
    </w:lvl>
    <w:lvl w:ilvl="4">
      <w:start w:val="1"/>
      <w:numFmt w:val="lowerLetter"/>
      <w:lvlText w:val="(%5)"/>
      <w:lvlJc w:val="left"/>
      <w:pPr>
        <w:tabs>
          <w:tab w:val="num" w:pos="576"/>
        </w:tabs>
        <w:ind w:left="0" w:firstLine="0"/>
      </w:pPr>
      <w:rPr>
        <w:rFonts w:hint="default"/>
      </w:rPr>
    </w:lvl>
    <w:lvl w:ilvl="5">
      <w:start w:val="1"/>
      <w:numFmt w:val="lowerRoman"/>
      <w:lvlText w:val="(%6)"/>
      <w:lvlJc w:val="left"/>
      <w:pPr>
        <w:tabs>
          <w:tab w:val="num" w:pos="576"/>
        </w:tabs>
        <w:ind w:left="0" w:firstLine="0"/>
      </w:pPr>
      <w:rPr>
        <w:rFonts w:hint="default"/>
      </w:rPr>
    </w:lvl>
    <w:lvl w:ilvl="6">
      <w:start w:val="1"/>
      <w:numFmt w:val="decimal"/>
      <w:lvlText w:val="%7."/>
      <w:lvlJc w:val="left"/>
      <w:pPr>
        <w:tabs>
          <w:tab w:val="num" w:pos="576"/>
        </w:tabs>
        <w:ind w:left="0" w:firstLine="0"/>
      </w:pPr>
      <w:rPr>
        <w:rFonts w:hint="default"/>
      </w:rPr>
    </w:lvl>
    <w:lvl w:ilvl="7">
      <w:start w:val="1"/>
      <w:numFmt w:val="lowerLetter"/>
      <w:lvlText w:val="%8."/>
      <w:lvlJc w:val="left"/>
      <w:pPr>
        <w:tabs>
          <w:tab w:val="num" w:pos="576"/>
        </w:tabs>
        <w:ind w:left="0" w:firstLine="0"/>
      </w:pPr>
      <w:rPr>
        <w:rFonts w:hint="default"/>
      </w:rPr>
    </w:lvl>
    <w:lvl w:ilvl="8">
      <w:start w:val="1"/>
      <w:numFmt w:val="lowerRoman"/>
      <w:lvlText w:val="%9."/>
      <w:lvlJc w:val="left"/>
      <w:pPr>
        <w:tabs>
          <w:tab w:val="num" w:pos="576"/>
        </w:tabs>
        <w:ind w:left="0" w:firstLine="0"/>
      </w:pPr>
      <w:rPr>
        <w:rFonts w:hint="default"/>
      </w:rPr>
    </w:lvl>
  </w:abstractNum>
  <w:abstractNum w:abstractNumId="7" w15:restartNumberingAfterBreak="0">
    <w:nsid w:val="0A3B32B0"/>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8" w15:restartNumberingAfterBreak="0">
    <w:nsid w:val="0F473C60"/>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9" w15:restartNumberingAfterBreak="0">
    <w:nsid w:val="17DE58C5"/>
    <w:multiLevelType w:val="hybridMultilevel"/>
    <w:tmpl w:val="AC6C20AA"/>
    <w:lvl w:ilvl="0" w:tplc="652CAC5E">
      <w:start w:val="1"/>
      <w:numFmt w:val="upperLetter"/>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4D2CE9"/>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1" w15:restartNumberingAfterBreak="0">
    <w:nsid w:val="23BD3FAA"/>
    <w:multiLevelType w:val="multilevel"/>
    <w:tmpl w:val="FA5067AE"/>
    <w:styleLink w:val="Style2"/>
    <w:lvl w:ilvl="0">
      <w:start w:val="1"/>
      <w:numFmt w:val="decimal"/>
      <w:isLgl/>
      <w:suff w:val="space"/>
      <w:lvlText w:val="%1"/>
      <w:lvlJc w:val="left"/>
      <w:pPr>
        <w:ind w:left="360" w:hanging="360"/>
      </w:pPr>
      <w:rPr>
        <w:rFonts w:asciiTheme="majorHAnsi" w:hAnsiTheme="majorHAnsi" w:hint="default"/>
        <w:b/>
        <w:i w:val="0"/>
        <w:color w:val="auto"/>
        <w:sz w:val="28"/>
      </w:rPr>
    </w:lvl>
    <w:lvl w:ilvl="1">
      <w:start w:val="1"/>
      <w:numFmt w:val="decimal"/>
      <w:isLgl/>
      <w:suff w:val="space"/>
      <w:lvlText w:val="%1.%2"/>
      <w:lvlJc w:val="left"/>
      <w:pPr>
        <w:ind w:left="720" w:hanging="360"/>
      </w:pPr>
      <w:rPr>
        <w:rFonts w:hint="default"/>
        <w:b/>
        <w:i w:val="0"/>
        <w:color w:val="auto"/>
        <w:sz w:val="24"/>
      </w:rPr>
    </w:lvl>
    <w:lvl w:ilvl="2">
      <w:start w:val="1"/>
      <w:numFmt w:val="decimal"/>
      <w:isLgl/>
      <w:suff w:val="space"/>
      <w:lvlText w:val="%1.%2.%3"/>
      <w:lvlJc w:val="left"/>
      <w:pPr>
        <w:ind w:left="1080" w:hanging="360"/>
      </w:pPr>
      <w:rPr>
        <w:rFonts w:hint="default"/>
        <w:b/>
        <w:i w:val="0"/>
        <w:color w:val="auto"/>
        <w:sz w:val="24"/>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12" w15:restartNumberingAfterBreak="0">
    <w:nsid w:val="2D2B78C4"/>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3" w15:restartNumberingAfterBreak="0">
    <w:nsid w:val="2DC64CB8"/>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4" w15:restartNumberingAfterBreak="0">
    <w:nsid w:val="33CF3A9C"/>
    <w:multiLevelType w:val="multilevel"/>
    <w:tmpl w:val="A8206314"/>
    <w:lvl w:ilvl="0">
      <w:start w:val="1"/>
      <w:numFmt w:val="decimal"/>
      <w:pStyle w:val="Heading1"/>
      <w:isLgl/>
      <w:lvlText w:val="%1"/>
      <w:lvlJc w:val="left"/>
      <w:pPr>
        <w:tabs>
          <w:tab w:val="num" w:pos="360"/>
        </w:tabs>
        <w:ind w:left="0" w:firstLine="0"/>
      </w:pPr>
      <w:rPr>
        <w:rFonts w:asciiTheme="majorHAnsi" w:hAnsiTheme="majorHAnsi" w:hint="default"/>
        <w:b/>
        <w:i w:val="0"/>
        <w:color w:val="auto"/>
        <w:sz w:val="28"/>
      </w:rPr>
    </w:lvl>
    <w:lvl w:ilvl="1">
      <w:start w:val="1"/>
      <w:numFmt w:val="decimal"/>
      <w:pStyle w:val="Heading2"/>
      <w:isLgl/>
      <w:lvlText w:val="%1.%2"/>
      <w:lvlJc w:val="left"/>
      <w:pPr>
        <w:tabs>
          <w:tab w:val="num" w:pos="360"/>
        </w:tabs>
        <w:ind w:left="0" w:firstLine="0"/>
      </w:pPr>
      <w:rPr>
        <w:rFonts w:hint="default"/>
        <w:b/>
        <w:i w:val="0"/>
        <w:color w:val="auto"/>
        <w:sz w:val="24"/>
      </w:rPr>
    </w:lvl>
    <w:lvl w:ilvl="2">
      <w:start w:val="1"/>
      <w:numFmt w:val="decimal"/>
      <w:lvlText w:val="%1.%2.%3"/>
      <w:lvlJc w:val="left"/>
      <w:pPr>
        <w:tabs>
          <w:tab w:val="num" w:pos="360"/>
        </w:tabs>
        <w:ind w:left="0" w:firstLine="0"/>
      </w:pPr>
      <w:rPr>
        <w:rFonts w:hint="default"/>
        <w:b/>
        <w:i w:val="0"/>
        <w:color w:val="auto"/>
        <w:sz w:val="24"/>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15" w15:restartNumberingAfterBreak="0">
    <w:nsid w:val="51613706"/>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6" w15:restartNumberingAfterBreak="0">
    <w:nsid w:val="66CE46D4"/>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7" w15:restartNumberingAfterBreak="0">
    <w:nsid w:val="783966D3"/>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num w:numId="1">
    <w:abstractNumId w:val="0"/>
  </w:num>
  <w:num w:numId="2">
    <w:abstractNumId w:val="1"/>
  </w:num>
  <w:num w:numId="3">
    <w:abstractNumId w:val="6"/>
  </w:num>
  <w:num w:numId="4">
    <w:abstractNumId w:val="11"/>
  </w:num>
  <w:num w:numId="5">
    <w:abstractNumId w:val="14"/>
  </w:num>
  <w:num w:numId="6">
    <w:abstractNumId w:val="14"/>
  </w:num>
  <w:num w:numId="7">
    <w:abstractNumId w:val="14"/>
  </w:num>
  <w:num w:numId="8">
    <w:abstractNumId w:val="14"/>
  </w:num>
  <w:num w:numId="9">
    <w:abstractNumId w:val="0"/>
  </w:num>
  <w:num w:numId="10">
    <w:abstractNumId w:val="1"/>
  </w:num>
  <w:num w:numId="11">
    <w:abstractNumId w:val="6"/>
  </w:num>
  <w:num w:numId="12">
    <w:abstractNumId w:val="11"/>
  </w:num>
  <w:num w:numId="13">
    <w:abstractNumId w:val="14"/>
  </w:num>
  <w:num w:numId="14">
    <w:abstractNumId w:val="14"/>
  </w:num>
  <w:num w:numId="15">
    <w:abstractNumId w:val="2"/>
  </w:num>
  <w:num w:numId="16">
    <w:abstractNumId w:val="1"/>
  </w:num>
  <w:num w:numId="17">
    <w:abstractNumId w:val="3"/>
  </w:num>
  <w:num w:numId="18">
    <w:abstractNumId w:val="16"/>
  </w:num>
  <w:num w:numId="19">
    <w:abstractNumId w:val="9"/>
  </w:num>
  <w:num w:numId="20">
    <w:abstractNumId w:val="5"/>
  </w:num>
  <w:num w:numId="21">
    <w:abstractNumId w:val="8"/>
  </w:num>
  <w:num w:numId="22">
    <w:abstractNumId w:val="10"/>
  </w:num>
  <w:num w:numId="23">
    <w:abstractNumId w:val="12"/>
  </w:num>
  <w:num w:numId="24">
    <w:abstractNumId w:val="7"/>
  </w:num>
  <w:num w:numId="25">
    <w:abstractNumId w:val="17"/>
  </w:num>
  <w:num w:numId="26">
    <w:abstractNumId w:val="4"/>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DB"/>
    <w:rsid w:val="000575DA"/>
    <w:rsid w:val="00063AE2"/>
    <w:rsid w:val="00071DE2"/>
    <w:rsid w:val="000C0D1C"/>
    <w:rsid w:val="000E2C46"/>
    <w:rsid w:val="000E652D"/>
    <w:rsid w:val="0010548B"/>
    <w:rsid w:val="0016714D"/>
    <w:rsid w:val="00170AA7"/>
    <w:rsid w:val="00181784"/>
    <w:rsid w:val="001E1101"/>
    <w:rsid w:val="001E7313"/>
    <w:rsid w:val="00203CFD"/>
    <w:rsid w:val="0022219C"/>
    <w:rsid w:val="00232E23"/>
    <w:rsid w:val="002404C3"/>
    <w:rsid w:val="002412BC"/>
    <w:rsid w:val="00291035"/>
    <w:rsid w:val="002C4C10"/>
    <w:rsid w:val="002F1B05"/>
    <w:rsid w:val="002F4E60"/>
    <w:rsid w:val="0030148F"/>
    <w:rsid w:val="0032105C"/>
    <w:rsid w:val="003211F6"/>
    <w:rsid w:val="00340990"/>
    <w:rsid w:val="003606D7"/>
    <w:rsid w:val="00364317"/>
    <w:rsid w:val="003752CC"/>
    <w:rsid w:val="00393700"/>
    <w:rsid w:val="003A3EC0"/>
    <w:rsid w:val="003A7D0E"/>
    <w:rsid w:val="003B2BA6"/>
    <w:rsid w:val="003D3AE7"/>
    <w:rsid w:val="003E72BC"/>
    <w:rsid w:val="003E7630"/>
    <w:rsid w:val="003F37B2"/>
    <w:rsid w:val="003F5555"/>
    <w:rsid w:val="0043222B"/>
    <w:rsid w:val="00450398"/>
    <w:rsid w:val="004767DB"/>
    <w:rsid w:val="00483C7D"/>
    <w:rsid w:val="00494289"/>
    <w:rsid w:val="004A4583"/>
    <w:rsid w:val="004D0540"/>
    <w:rsid w:val="004E0C05"/>
    <w:rsid w:val="0050464D"/>
    <w:rsid w:val="00521F3D"/>
    <w:rsid w:val="005315B6"/>
    <w:rsid w:val="00541718"/>
    <w:rsid w:val="005637AD"/>
    <w:rsid w:val="005B296F"/>
    <w:rsid w:val="005B5FC0"/>
    <w:rsid w:val="005D2A5D"/>
    <w:rsid w:val="00605BF2"/>
    <w:rsid w:val="00614438"/>
    <w:rsid w:val="006212E5"/>
    <w:rsid w:val="00623FFD"/>
    <w:rsid w:val="006439E8"/>
    <w:rsid w:val="00646E48"/>
    <w:rsid w:val="00671120"/>
    <w:rsid w:val="006B5F86"/>
    <w:rsid w:val="006C0A90"/>
    <w:rsid w:val="006D4228"/>
    <w:rsid w:val="006E2A61"/>
    <w:rsid w:val="00700FA3"/>
    <w:rsid w:val="00717C45"/>
    <w:rsid w:val="00722AC5"/>
    <w:rsid w:val="007240A1"/>
    <w:rsid w:val="00727C65"/>
    <w:rsid w:val="007D65F3"/>
    <w:rsid w:val="007E6BA7"/>
    <w:rsid w:val="007F4B46"/>
    <w:rsid w:val="00835A7C"/>
    <w:rsid w:val="008620AE"/>
    <w:rsid w:val="00872C28"/>
    <w:rsid w:val="00876F93"/>
    <w:rsid w:val="008C4D89"/>
    <w:rsid w:val="008D3529"/>
    <w:rsid w:val="008F5115"/>
    <w:rsid w:val="00993028"/>
    <w:rsid w:val="009B1612"/>
    <w:rsid w:val="009D3F98"/>
    <w:rsid w:val="009D4EA0"/>
    <w:rsid w:val="009E2F68"/>
    <w:rsid w:val="00A22C32"/>
    <w:rsid w:val="00A23621"/>
    <w:rsid w:val="00A276B0"/>
    <w:rsid w:val="00A27FA5"/>
    <w:rsid w:val="00AD1617"/>
    <w:rsid w:val="00B24394"/>
    <w:rsid w:val="00B478D3"/>
    <w:rsid w:val="00B52335"/>
    <w:rsid w:val="00B61BBA"/>
    <w:rsid w:val="00B74F71"/>
    <w:rsid w:val="00BD054B"/>
    <w:rsid w:val="00BF07BD"/>
    <w:rsid w:val="00BF084A"/>
    <w:rsid w:val="00BF5F42"/>
    <w:rsid w:val="00C85573"/>
    <w:rsid w:val="00C86BF3"/>
    <w:rsid w:val="00CE25A1"/>
    <w:rsid w:val="00D51F31"/>
    <w:rsid w:val="00D668C8"/>
    <w:rsid w:val="00D9098B"/>
    <w:rsid w:val="00DD0EE4"/>
    <w:rsid w:val="00DF5621"/>
    <w:rsid w:val="00E02422"/>
    <w:rsid w:val="00E11E04"/>
    <w:rsid w:val="00E30C53"/>
    <w:rsid w:val="00E434A5"/>
    <w:rsid w:val="00E501B8"/>
    <w:rsid w:val="00E52295"/>
    <w:rsid w:val="00E64C26"/>
    <w:rsid w:val="00E73224"/>
    <w:rsid w:val="00E80578"/>
    <w:rsid w:val="00E806A7"/>
    <w:rsid w:val="00EC1DCA"/>
    <w:rsid w:val="00ED2933"/>
    <w:rsid w:val="00ED3C2F"/>
    <w:rsid w:val="00EE1495"/>
    <w:rsid w:val="00F06B77"/>
    <w:rsid w:val="00F46FBF"/>
    <w:rsid w:val="00F61446"/>
    <w:rsid w:val="00F70E70"/>
    <w:rsid w:val="00F815E6"/>
    <w:rsid w:val="00F839C4"/>
    <w:rsid w:val="00F96953"/>
    <w:rsid w:val="00FE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DC36"/>
  <w15:chartTrackingRefBased/>
  <w15:docId w15:val="{F4B31104-4EAE-45D0-B08A-6FE208EB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US" w:eastAsia="en-US" w:bidi="ar-SA"/>
      </w:rPr>
    </w:rPrDefault>
    <w:pPrDefault>
      <w:pPr>
        <w:spacing w:after="100" w:line="276" w:lineRule="auto"/>
        <w:ind w:firstLine="720"/>
      </w:pPr>
    </w:pPrDefault>
  </w:docDefaults>
  <w:latentStyles w:defLockedState="0" w:defUIPriority="99" w:defSemiHidden="0" w:defUnhideWhenUsed="0" w:defQFormat="0" w:count="377">
    <w:lsdException w:name="Normal" w:uiPriority="1"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8D3529"/>
  </w:style>
  <w:style w:type="paragraph" w:styleId="Heading1">
    <w:name w:val="heading 1"/>
    <w:basedOn w:val="Normal"/>
    <w:link w:val="Heading1Char"/>
    <w:uiPriority w:val="3"/>
    <w:qFormat/>
    <w:rsid w:val="002404C3"/>
    <w:pPr>
      <w:keepNext/>
      <w:keepLines/>
      <w:numPr>
        <w:numId w:val="14"/>
      </w:numPr>
      <w:spacing w:before="240" w:after="240"/>
      <w:outlineLvl w:val="0"/>
    </w:pPr>
    <w:rPr>
      <w:rFonts w:asciiTheme="majorHAnsi" w:eastAsiaTheme="majorEastAsia" w:hAnsiTheme="majorHAnsi" w:cstheme="majorBidi"/>
      <w:b/>
      <w:szCs w:val="32"/>
      <w:u w:val="single"/>
    </w:rPr>
  </w:style>
  <w:style w:type="paragraph" w:styleId="Heading2">
    <w:name w:val="heading 2"/>
    <w:basedOn w:val="Normal"/>
    <w:next w:val="Normal"/>
    <w:link w:val="Heading2Char"/>
    <w:uiPriority w:val="4"/>
    <w:qFormat/>
    <w:rsid w:val="002404C3"/>
    <w:pPr>
      <w:keepNext/>
      <w:numPr>
        <w:ilvl w:val="1"/>
        <w:numId w:val="14"/>
      </w:numPr>
      <w:spacing w:before="240" w:after="240"/>
      <w:outlineLvl w:val="1"/>
    </w:pPr>
    <w:rPr>
      <w:rFonts w:eastAsiaTheme="majorEastAsia" w:cstheme="majorBidi"/>
      <w:b/>
      <w:szCs w:val="26"/>
      <w:u w:val="single"/>
    </w:rPr>
  </w:style>
  <w:style w:type="paragraph" w:styleId="Heading3">
    <w:name w:val="heading 3"/>
    <w:basedOn w:val="Normal"/>
    <w:link w:val="Heading3Char"/>
    <w:uiPriority w:val="5"/>
    <w:qFormat/>
    <w:rsid w:val="002404C3"/>
    <w:pPr>
      <w:keepNext/>
      <w:numPr>
        <w:ilvl w:val="2"/>
        <w:numId w:val="15"/>
      </w:numPr>
      <w:spacing w:before="240" w:after="240" w:line="240" w:lineRule="auto"/>
      <w:ind w:firstLine="0"/>
      <w:jc w:val="center"/>
      <w:outlineLvl w:val="2"/>
    </w:pPr>
    <w:rPr>
      <w:rFonts w:eastAsiaTheme="majorEastAsia" w:cstheme="majorBidi"/>
      <w:b/>
      <w:u w:val="single"/>
    </w:rPr>
  </w:style>
  <w:style w:type="paragraph" w:styleId="Heading4">
    <w:name w:val="heading 4"/>
    <w:basedOn w:val="Normal"/>
    <w:link w:val="Heading4Char"/>
    <w:autoRedefine/>
    <w:uiPriority w:val="6"/>
    <w:qFormat/>
    <w:rsid w:val="008D3529"/>
    <w:pPr>
      <w:keepNext/>
      <w:keepLines/>
      <w:framePr w:wrap="notBeside" w:hAnchor="text"/>
      <w:spacing w:before="40"/>
      <w:jc w:val="center"/>
      <w:outlineLvl w:val="3"/>
    </w:pPr>
    <w:rPr>
      <w:rFonts w:asciiTheme="majorHAnsi" w:eastAsiaTheme="majorEastAsia" w:hAnsiTheme="majorHAnsi" w:cstheme="majorBidi"/>
      <w:b/>
      <w:iCs/>
      <w:u w:val="single"/>
    </w:rPr>
  </w:style>
  <w:style w:type="paragraph" w:styleId="Heading5">
    <w:name w:val="heading 5"/>
    <w:basedOn w:val="Normal"/>
    <w:link w:val="Heading5Char"/>
    <w:uiPriority w:val="9"/>
    <w:semiHidden/>
    <w:unhideWhenUsed/>
    <w:qFormat/>
    <w:rsid w:val="008D3529"/>
    <w:pPr>
      <w:keepNext/>
      <w:keepLines/>
      <w:framePr w:wrap="notBeside" w:hAnchor="text"/>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EndnoteText">
    <w:name w:val="endnote text"/>
    <w:basedOn w:val="Normal"/>
    <w:link w:val="EndnoteTextChar"/>
    <w:uiPriority w:val="99"/>
    <w:unhideWhenUsed/>
    <w:qFormat/>
    <w:rsid w:val="00CE25A1"/>
    <w:pPr>
      <w:keepLines/>
      <w:spacing w:after="120" w:line="360" w:lineRule="auto"/>
      <w:ind w:left="360" w:hanging="360"/>
    </w:pPr>
  </w:style>
  <w:style w:type="character" w:customStyle="1" w:styleId="EndnoteTextChar">
    <w:name w:val="Endnote Text Char"/>
    <w:basedOn w:val="DefaultParagraphFont"/>
    <w:link w:val="EndnoteText"/>
    <w:uiPriority w:val="99"/>
    <w:rsid w:val="00CE25A1"/>
  </w:style>
  <w:style w:type="character" w:styleId="EndnoteReference">
    <w:name w:val="endnote reference"/>
    <w:basedOn w:val="DefaultParagraphFont"/>
    <w:uiPriority w:val="99"/>
    <w:qFormat/>
    <w:rsid w:val="008D3529"/>
    <w:rPr>
      <w:rFonts w:ascii="Times New Roman" w:hAnsi="Times New Roman"/>
      <w:b/>
      <w:sz w:val="24"/>
      <w:vertAlign w:val="superscript"/>
    </w:rPr>
  </w:style>
  <w:style w:type="table" w:styleId="TableGrid">
    <w:name w:val="Table Grid"/>
    <w:basedOn w:val="TableNormal"/>
    <w:uiPriority w:val="59"/>
    <w:rsid w:val="008D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Quote">
    <w:name w:val="Legal Quote"/>
    <w:basedOn w:val="Normal"/>
    <w:qFormat/>
    <w:rsid w:val="008D3529"/>
    <w:pPr>
      <w:autoSpaceDE w:val="0"/>
      <w:autoSpaceDN w:val="0"/>
      <w:adjustRightInd w:val="0"/>
      <w:spacing w:after="0" w:line="240" w:lineRule="auto"/>
      <w:ind w:left="720" w:right="720" w:firstLine="0"/>
      <w:jc w:val="both"/>
    </w:pPr>
    <w:rPr>
      <w:rFonts w:eastAsiaTheme="minorEastAsia"/>
    </w:rPr>
  </w:style>
  <w:style w:type="paragraph" w:customStyle="1" w:styleId="TableParagraph">
    <w:name w:val="Table Paragraph"/>
    <w:basedOn w:val="Normal"/>
    <w:autoRedefine/>
    <w:uiPriority w:val="7"/>
    <w:qFormat/>
    <w:rsid w:val="008D3529"/>
    <w:pPr>
      <w:keepNext/>
      <w:keepLines/>
      <w:framePr w:wrap="notBeside" w:hAnchor="text"/>
      <w:spacing w:after="0" w:line="240" w:lineRule="auto"/>
    </w:pPr>
  </w:style>
  <w:style w:type="paragraph" w:customStyle="1" w:styleId="Style1">
    <w:name w:val="Style1"/>
    <w:basedOn w:val="Normal"/>
    <w:autoRedefine/>
    <w:uiPriority w:val="24"/>
    <w:qFormat/>
    <w:rsid w:val="008D3529"/>
    <w:pPr>
      <w:framePr w:wrap="notBeside" w:hAnchor="text"/>
    </w:pPr>
    <w:rPr>
      <w:position w:val="9"/>
      <w:sz w:val="20"/>
    </w:rPr>
  </w:style>
  <w:style w:type="paragraph" w:customStyle="1" w:styleId="Footnote">
    <w:name w:val="Footnote"/>
    <w:basedOn w:val="Normal"/>
    <w:autoRedefine/>
    <w:uiPriority w:val="1"/>
    <w:qFormat/>
    <w:rsid w:val="008D3529"/>
    <w:pPr>
      <w:keepLines/>
      <w:framePr w:wrap="notBeside" w:hAnchor="text"/>
    </w:pPr>
    <w:rPr>
      <w:sz w:val="20"/>
    </w:rPr>
  </w:style>
  <w:style w:type="numbering" w:customStyle="1" w:styleId="JordiesClass">
    <w:name w:val="Jordie's Class"/>
    <w:uiPriority w:val="99"/>
    <w:rsid w:val="008D3529"/>
    <w:pPr>
      <w:numPr>
        <w:numId w:val="1"/>
      </w:numPr>
    </w:pPr>
  </w:style>
  <w:style w:type="paragraph" w:customStyle="1" w:styleId="17">
    <w:name w:val="_17"/>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16">
    <w:name w:val="_16"/>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15">
    <w:name w:val="_15"/>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14">
    <w:name w:val="_14"/>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13">
    <w:name w:val="_13"/>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12">
    <w:name w:val="_12"/>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11">
    <w:name w:val="_11"/>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0">
    <w:name w:val="_10"/>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Level9">
    <w:name w:val="Level 9"/>
    <w:uiPriority w:val="99"/>
    <w:rsid w:val="008D3529"/>
    <w:pPr>
      <w:widowControl w:val="0"/>
      <w:autoSpaceDE w:val="0"/>
      <w:autoSpaceDN w:val="0"/>
      <w:adjustRightInd w:val="0"/>
      <w:ind w:left="-1440"/>
      <w:jc w:val="both"/>
    </w:pPr>
    <w:rPr>
      <w:rFonts w:eastAsiaTheme="minorEastAsia"/>
      <w:b/>
      <w:bCs/>
    </w:rPr>
  </w:style>
  <w:style w:type="paragraph" w:customStyle="1" w:styleId="26">
    <w:name w:val="_26"/>
    <w:uiPriority w:val="99"/>
    <w:rsid w:val="008D3529"/>
    <w:pPr>
      <w:widowControl w:val="0"/>
      <w:autoSpaceDE w:val="0"/>
      <w:autoSpaceDN w:val="0"/>
      <w:adjustRightInd w:val="0"/>
      <w:jc w:val="both"/>
    </w:pPr>
    <w:rPr>
      <w:rFonts w:eastAsiaTheme="minorEastAsia"/>
    </w:rPr>
  </w:style>
  <w:style w:type="paragraph" w:customStyle="1" w:styleId="25">
    <w:name w:val="_25"/>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24">
    <w:name w:val="_24"/>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23">
    <w:name w:val="_23"/>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22">
    <w:name w:val="_22"/>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21">
    <w:name w:val="_21"/>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0">
    <w:name w:val="_20"/>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9">
    <w:name w:val="_19"/>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18">
    <w:name w:val="_18"/>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9">
    <w:name w:val="_9"/>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8">
    <w:name w:val="_8"/>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7">
    <w:name w:val="_7"/>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6">
    <w:name w:val="_6"/>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5">
    <w:name w:val="_5"/>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4">
    <w:name w:val="_4"/>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3">
    <w:name w:val="_3"/>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
    <w:name w:val="_2"/>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
    <w:name w:val="_1"/>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a">
    <w:name w:val="_"/>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DefinitionT">
    <w:name w:val="Definition T"/>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DefinitionL">
    <w:name w:val="Definition L"/>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customStyle="1" w:styleId="Definition">
    <w:name w:val="Definition"/>
    <w:uiPriority w:val="99"/>
    <w:rsid w:val="008D3529"/>
    <w:rPr>
      <w:i/>
      <w:iCs/>
    </w:rPr>
  </w:style>
  <w:style w:type="paragraph" w:customStyle="1" w:styleId="H1">
    <w:name w:val="H1"/>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customStyle="1" w:styleId="H2">
    <w:name w:val="H2"/>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customStyle="1" w:styleId="H3">
    <w:name w:val="H3"/>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Cs w:val="28"/>
    </w:rPr>
  </w:style>
  <w:style w:type="paragraph" w:customStyle="1" w:styleId="H4">
    <w:name w:val="H4"/>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customStyle="1" w:styleId="H5">
    <w:name w:val="H5"/>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customStyle="1" w:styleId="H6">
    <w:name w:val="H6"/>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customStyle="1" w:styleId="Address">
    <w:name w:val="Address"/>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customStyle="1" w:styleId="Blockquote">
    <w:name w:val="Blockquote"/>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customStyle="1" w:styleId="CITE">
    <w:name w:val="CITE"/>
    <w:uiPriority w:val="99"/>
    <w:rsid w:val="008D3529"/>
    <w:rPr>
      <w:i/>
      <w:iCs/>
    </w:rPr>
  </w:style>
  <w:style w:type="character" w:customStyle="1" w:styleId="CODE">
    <w:name w:val="CODE"/>
    <w:uiPriority w:val="99"/>
    <w:rsid w:val="008D3529"/>
    <w:rPr>
      <w:rFonts w:ascii="Courier New" w:hAnsi="Courier New" w:cs="Courier New"/>
      <w:sz w:val="20"/>
      <w:szCs w:val="20"/>
    </w:rPr>
  </w:style>
  <w:style w:type="character" w:customStyle="1" w:styleId="FollowedHype">
    <w:name w:val="FollowedHype"/>
    <w:uiPriority w:val="99"/>
    <w:rsid w:val="008D3529"/>
    <w:rPr>
      <w:color w:val="800080"/>
      <w:u w:val="single"/>
    </w:rPr>
  </w:style>
  <w:style w:type="character" w:customStyle="1" w:styleId="Keyboard">
    <w:name w:val="Keyboard"/>
    <w:uiPriority w:val="99"/>
    <w:rsid w:val="008D3529"/>
    <w:rPr>
      <w:rFonts w:ascii="Courier New" w:hAnsi="Courier New" w:cs="Courier New"/>
      <w:b/>
      <w:bCs/>
      <w:sz w:val="20"/>
      <w:szCs w:val="20"/>
    </w:rPr>
  </w:style>
  <w:style w:type="paragraph" w:customStyle="1" w:styleId="Preformatted">
    <w:name w:val="Preformatted"/>
    <w:uiPriority w:val="99"/>
    <w:rsid w:val="008D352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heme="minorEastAsia" w:hAnsi="Courier New" w:cs="Courier New"/>
      <w:sz w:val="20"/>
      <w:szCs w:val="20"/>
    </w:rPr>
  </w:style>
  <w:style w:type="paragraph" w:customStyle="1" w:styleId="zBottomof">
    <w:name w:val="zBottom of"/>
    <w:uiPriority w:val="99"/>
    <w:rsid w:val="008D352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paragraph" w:customStyle="1" w:styleId="zTopofFor">
    <w:name w:val="zTop of For"/>
    <w:uiPriority w:val="99"/>
    <w:rsid w:val="008D352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customStyle="1" w:styleId="Sample">
    <w:name w:val="Sample"/>
    <w:uiPriority w:val="99"/>
    <w:rsid w:val="008D3529"/>
    <w:rPr>
      <w:rFonts w:ascii="Courier New" w:hAnsi="Courier New" w:cs="Courier New"/>
    </w:rPr>
  </w:style>
  <w:style w:type="character" w:customStyle="1" w:styleId="Typewriter">
    <w:name w:val="Typewriter"/>
    <w:uiPriority w:val="99"/>
    <w:rsid w:val="008D3529"/>
    <w:rPr>
      <w:rFonts w:ascii="Courier New" w:hAnsi="Courier New" w:cs="Courier New"/>
      <w:sz w:val="20"/>
      <w:szCs w:val="20"/>
    </w:rPr>
  </w:style>
  <w:style w:type="character" w:customStyle="1" w:styleId="Variable">
    <w:name w:val="Variable"/>
    <w:uiPriority w:val="99"/>
    <w:rsid w:val="008D3529"/>
    <w:rPr>
      <w:i/>
      <w:iCs/>
    </w:rPr>
  </w:style>
  <w:style w:type="character" w:customStyle="1" w:styleId="HTMLMarkup">
    <w:name w:val="HTML Markup"/>
    <w:uiPriority w:val="99"/>
    <w:rsid w:val="008D3529"/>
    <w:rPr>
      <w:vanish/>
      <w:color w:val="FF0000"/>
    </w:rPr>
  </w:style>
  <w:style w:type="character" w:customStyle="1" w:styleId="Comment">
    <w:name w:val="Comment"/>
    <w:uiPriority w:val="99"/>
    <w:rsid w:val="008D3529"/>
  </w:style>
  <w:style w:type="character" w:customStyle="1" w:styleId="DefaultPara">
    <w:name w:val="Default Para"/>
    <w:uiPriority w:val="99"/>
    <w:rsid w:val="008D3529"/>
  </w:style>
  <w:style w:type="character" w:customStyle="1" w:styleId="cosearchterm">
    <w:name w:val="co_searchterm"/>
    <w:basedOn w:val="DefaultParagraphFont"/>
    <w:rsid w:val="008D3529"/>
  </w:style>
  <w:style w:type="character" w:customStyle="1" w:styleId="costarpage">
    <w:name w:val="co_starpage"/>
    <w:basedOn w:val="DefaultParagraphFont"/>
    <w:rsid w:val="008D3529"/>
  </w:style>
  <w:style w:type="character" w:customStyle="1" w:styleId="counderline">
    <w:name w:val="co_underline"/>
    <w:basedOn w:val="DefaultParagraphFont"/>
    <w:uiPriority w:val="99"/>
    <w:rsid w:val="008D3529"/>
  </w:style>
  <w:style w:type="paragraph" w:customStyle="1" w:styleId="ListParaNoIndent">
    <w:name w:val="List Para No Indent"/>
    <w:basedOn w:val="ListParagraph"/>
    <w:link w:val="ListParaNoIndentChar"/>
    <w:uiPriority w:val="2"/>
    <w:qFormat/>
    <w:rsid w:val="004767DB"/>
    <w:pPr>
      <w:tabs>
        <w:tab w:val="left" w:pos="43"/>
        <w:tab w:val="left" w:pos="432"/>
      </w:tabs>
      <w:spacing w:line="480" w:lineRule="auto"/>
      <w:ind w:left="0" w:firstLine="0"/>
    </w:pPr>
  </w:style>
  <w:style w:type="character" w:customStyle="1" w:styleId="ListParaNoIndentChar">
    <w:name w:val="List Para No Indent Char"/>
    <w:basedOn w:val="ListParagraphChar"/>
    <w:link w:val="ListParaNoIndent"/>
    <w:uiPriority w:val="2"/>
    <w:rsid w:val="004767DB"/>
    <w:rPr>
      <w:sz w:val="28"/>
      <w:szCs w:val="24"/>
    </w:rPr>
  </w:style>
  <w:style w:type="paragraph" w:styleId="ListParagraph">
    <w:name w:val="List Paragraph"/>
    <w:basedOn w:val="Normal"/>
    <w:link w:val="ListParagraphChar"/>
    <w:uiPriority w:val="34"/>
    <w:qFormat/>
    <w:rsid w:val="008D3529"/>
    <w:pPr>
      <w:ind w:left="432" w:hanging="432"/>
    </w:pPr>
  </w:style>
  <w:style w:type="paragraph" w:customStyle="1" w:styleId="endnotetex1">
    <w:name w:val="endnote tex1"/>
    <w:basedOn w:val="Normal"/>
    <w:qFormat/>
    <w:rsid w:val="008D3529"/>
    <w:pPr>
      <w:widowControl w:val="0"/>
      <w:spacing w:after="0" w:line="240" w:lineRule="auto"/>
      <w:ind w:left="360" w:hanging="360"/>
    </w:pPr>
    <w:rPr>
      <w:rFonts w:eastAsia="Times New Roman"/>
      <w:szCs w:val="20"/>
    </w:rPr>
  </w:style>
  <w:style w:type="character" w:customStyle="1" w:styleId="cohighlight">
    <w:name w:val="co_highlight"/>
    <w:rsid w:val="008D3529"/>
    <w:rPr>
      <w:rFonts w:cs="Times New Roman"/>
    </w:rPr>
  </w:style>
  <w:style w:type="numbering" w:customStyle="1" w:styleId="BigPaper">
    <w:name w:val="Big Paper"/>
    <w:uiPriority w:val="99"/>
    <w:rsid w:val="008D3529"/>
    <w:pPr>
      <w:numPr>
        <w:numId w:val="3"/>
      </w:numPr>
    </w:pPr>
  </w:style>
  <w:style w:type="numbering" w:customStyle="1" w:styleId="Style2">
    <w:name w:val="Style2"/>
    <w:uiPriority w:val="99"/>
    <w:rsid w:val="008D3529"/>
    <w:pPr>
      <w:numPr>
        <w:numId w:val="4"/>
      </w:numPr>
    </w:pPr>
  </w:style>
  <w:style w:type="character" w:customStyle="1" w:styleId="Heading1Char">
    <w:name w:val="Heading 1 Char"/>
    <w:basedOn w:val="DefaultParagraphFont"/>
    <w:link w:val="Heading1"/>
    <w:uiPriority w:val="3"/>
    <w:rsid w:val="008D3529"/>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4"/>
    <w:rsid w:val="008D3529"/>
    <w:rPr>
      <w:rFonts w:eastAsiaTheme="majorEastAsia" w:cstheme="majorBidi"/>
      <w:b/>
      <w:szCs w:val="26"/>
      <w:u w:val="single"/>
    </w:rPr>
  </w:style>
  <w:style w:type="character" w:customStyle="1" w:styleId="Heading3Char">
    <w:name w:val="Heading 3 Char"/>
    <w:basedOn w:val="DefaultParagraphFont"/>
    <w:link w:val="Heading3"/>
    <w:uiPriority w:val="5"/>
    <w:rsid w:val="002404C3"/>
    <w:rPr>
      <w:rFonts w:eastAsiaTheme="majorEastAsia" w:cstheme="majorBidi"/>
      <w:b/>
      <w:u w:val="single"/>
    </w:rPr>
  </w:style>
  <w:style w:type="character" w:customStyle="1" w:styleId="Heading4Char">
    <w:name w:val="Heading 4 Char"/>
    <w:basedOn w:val="DefaultParagraphFont"/>
    <w:link w:val="Heading4"/>
    <w:uiPriority w:val="6"/>
    <w:rsid w:val="008D3529"/>
    <w:rPr>
      <w:rFonts w:asciiTheme="majorHAnsi" w:eastAsiaTheme="majorEastAsia" w:hAnsiTheme="majorHAnsi" w:cstheme="majorBidi"/>
      <w:b/>
      <w:iCs/>
      <w:szCs w:val="24"/>
      <w:u w:val="single"/>
    </w:rPr>
  </w:style>
  <w:style w:type="character" w:customStyle="1" w:styleId="Heading5Char">
    <w:name w:val="Heading 5 Char"/>
    <w:basedOn w:val="DefaultParagraphFont"/>
    <w:link w:val="Heading5"/>
    <w:uiPriority w:val="9"/>
    <w:semiHidden/>
    <w:rsid w:val="008D3529"/>
    <w:rPr>
      <w:rFonts w:asciiTheme="majorHAnsi" w:eastAsiaTheme="majorEastAsia" w:hAnsiTheme="majorHAnsi" w:cstheme="majorBidi"/>
      <w:color w:val="2F5496" w:themeColor="accent1" w:themeShade="BF"/>
      <w:szCs w:val="24"/>
    </w:rPr>
  </w:style>
  <w:style w:type="paragraph" w:styleId="TOC1">
    <w:name w:val="toc 1"/>
    <w:basedOn w:val="Normal"/>
    <w:next w:val="Normal"/>
    <w:uiPriority w:val="39"/>
    <w:unhideWhenUsed/>
    <w:qFormat/>
    <w:rsid w:val="008D3529"/>
    <w:pPr>
      <w:tabs>
        <w:tab w:val="left" w:pos="1440"/>
        <w:tab w:val="right" w:leader="dot" w:pos="9350"/>
      </w:tabs>
      <w:spacing w:before="120" w:after="120" w:line="240" w:lineRule="auto"/>
      <w:ind w:left="432" w:hanging="432"/>
    </w:pPr>
    <w:rPr>
      <w:rFonts w:cstheme="minorHAnsi"/>
      <w:b/>
      <w:bCs/>
      <w:caps/>
      <w:noProof/>
      <w:szCs w:val="20"/>
    </w:rPr>
  </w:style>
  <w:style w:type="paragraph" w:styleId="TOC2">
    <w:name w:val="toc 2"/>
    <w:basedOn w:val="Normal"/>
    <w:next w:val="Normal"/>
    <w:uiPriority w:val="39"/>
    <w:unhideWhenUsed/>
    <w:qFormat/>
    <w:rsid w:val="008D3529"/>
    <w:pPr>
      <w:spacing w:after="80" w:line="240" w:lineRule="auto"/>
      <w:ind w:left="288" w:firstLine="0"/>
    </w:pPr>
    <w:rPr>
      <w:rFonts w:cstheme="minorHAnsi"/>
      <w:smallCaps/>
      <w:szCs w:val="20"/>
    </w:rPr>
  </w:style>
  <w:style w:type="paragraph" w:styleId="TOC3">
    <w:name w:val="toc 3"/>
    <w:basedOn w:val="Normal"/>
    <w:next w:val="Normal"/>
    <w:uiPriority w:val="39"/>
    <w:unhideWhenUsed/>
    <w:qFormat/>
    <w:rsid w:val="008D3529"/>
    <w:pPr>
      <w:spacing w:after="80" w:line="240" w:lineRule="auto"/>
      <w:ind w:left="1440" w:hanging="720"/>
    </w:pPr>
    <w:rPr>
      <w:rFonts w:cstheme="minorHAnsi"/>
      <w:iCs/>
      <w:szCs w:val="20"/>
    </w:rPr>
  </w:style>
  <w:style w:type="paragraph" w:styleId="TOC4">
    <w:name w:val="toc 4"/>
    <w:basedOn w:val="Normal"/>
    <w:next w:val="Normal"/>
    <w:uiPriority w:val="39"/>
    <w:unhideWhenUsed/>
    <w:qFormat/>
    <w:rsid w:val="008D3529"/>
    <w:pPr>
      <w:spacing w:after="120" w:line="240" w:lineRule="auto"/>
      <w:ind w:left="720"/>
    </w:pPr>
    <w:rPr>
      <w:rFonts w:cstheme="minorHAnsi"/>
      <w:i/>
      <w:sz w:val="20"/>
      <w:szCs w:val="18"/>
    </w:rPr>
  </w:style>
  <w:style w:type="paragraph" w:styleId="TOC5">
    <w:name w:val="toc 5"/>
    <w:basedOn w:val="Normal"/>
    <w:next w:val="Normal"/>
    <w:autoRedefine/>
    <w:uiPriority w:val="39"/>
    <w:unhideWhenUsed/>
    <w:rsid w:val="008D3529"/>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3529"/>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3529"/>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3529"/>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3529"/>
    <w:pPr>
      <w:spacing w:after="0"/>
      <w:ind w:left="1920"/>
    </w:pPr>
    <w:rPr>
      <w:rFonts w:asciiTheme="minorHAnsi" w:hAnsiTheme="minorHAnsi" w:cstheme="minorHAnsi"/>
      <w:sz w:val="18"/>
      <w:szCs w:val="18"/>
    </w:rPr>
  </w:style>
  <w:style w:type="paragraph" w:styleId="FootnoteText">
    <w:name w:val="footnote text"/>
    <w:basedOn w:val="Normal"/>
    <w:link w:val="FootnoteTextChar"/>
    <w:uiPriority w:val="99"/>
    <w:unhideWhenUsed/>
    <w:rsid w:val="00450398"/>
    <w:pPr>
      <w:framePr w:wrap="notBeside" w:hAnchor="text"/>
      <w:spacing w:after="0"/>
    </w:pPr>
    <w:rPr>
      <w:sz w:val="24"/>
      <w:szCs w:val="20"/>
    </w:rPr>
  </w:style>
  <w:style w:type="character" w:customStyle="1" w:styleId="FootnoteTextChar">
    <w:name w:val="Footnote Text Char"/>
    <w:basedOn w:val="DefaultParagraphFont"/>
    <w:link w:val="FootnoteText"/>
    <w:uiPriority w:val="99"/>
    <w:rsid w:val="00450398"/>
    <w:rPr>
      <w:sz w:val="24"/>
      <w:szCs w:val="20"/>
    </w:rPr>
  </w:style>
  <w:style w:type="paragraph" w:styleId="CommentText">
    <w:name w:val="annotation text"/>
    <w:basedOn w:val="Normal"/>
    <w:link w:val="CommentTextChar"/>
    <w:uiPriority w:val="99"/>
    <w:semiHidden/>
    <w:unhideWhenUsed/>
    <w:rsid w:val="008D3529"/>
    <w:pPr>
      <w:framePr w:wrap="notBeside" w:hAnchor="text"/>
    </w:pPr>
    <w:rPr>
      <w:sz w:val="20"/>
      <w:szCs w:val="20"/>
    </w:rPr>
  </w:style>
  <w:style w:type="character" w:customStyle="1" w:styleId="CommentTextChar">
    <w:name w:val="Comment Text Char"/>
    <w:basedOn w:val="DefaultParagraphFont"/>
    <w:link w:val="CommentText"/>
    <w:uiPriority w:val="99"/>
    <w:semiHidden/>
    <w:rsid w:val="008D3529"/>
    <w:rPr>
      <w:rFonts w:cs="Times New Roman"/>
      <w:sz w:val="20"/>
      <w:szCs w:val="20"/>
    </w:rPr>
  </w:style>
  <w:style w:type="paragraph" w:styleId="Header">
    <w:name w:val="header"/>
    <w:basedOn w:val="Normal"/>
    <w:link w:val="HeaderChar"/>
    <w:uiPriority w:val="99"/>
    <w:unhideWhenUsed/>
    <w:rsid w:val="008D3529"/>
    <w:pPr>
      <w:framePr w:wrap="notBeside" w:hAnchor="text"/>
      <w:tabs>
        <w:tab w:val="center" w:pos="4680"/>
        <w:tab w:val="right" w:pos="9360"/>
      </w:tabs>
    </w:pPr>
  </w:style>
  <w:style w:type="character" w:customStyle="1" w:styleId="HeaderChar">
    <w:name w:val="Header Char"/>
    <w:basedOn w:val="DefaultParagraphFont"/>
    <w:link w:val="Header"/>
    <w:uiPriority w:val="99"/>
    <w:rsid w:val="008D3529"/>
    <w:rPr>
      <w:rFonts w:cs="Times New Roman"/>
      <w:szCs w:val="24"/>
    </w:rPr>
  </w:style>
  <w:style w:type="paragraph" w:styleId="Footer">
    <w:name w:val="footer"/>
    <w:basedOn w:val="Normal"/>
    <w:link w:val="FooterChar"/>
    <w:uiPriority w:val="99"/>
    <w:unhideWhenUsed/>
    <w:qFormat/>
    <w:rsid w:val="008D3529"/>
    <w:pPr>
      <w:keepLines/>
      <w:spacing w:after="0" w:line="240" w:lineRule="auto"/>
      <w:jc w:val="center"/>
    </w:pPr>
    <w:rPr>
      <w:b/>
      <w:sz w:val="20"/>
    </w:rPr>
  </w:style>
  <w:style w:type="character" w:customStyle="1" w:styleId="FooterChar">
    <w:name w:val="Footer Char"/>
    <w:basedOn w:val="DefaultParagraphFont"/>
    <w:link w:val="Footer"/>
    <w:uiPriority w:val="99"/>
    <w:rsid w:val="008D3529"/>
    <w:rPr>
      <w:rFonts w:cs="Times New Roman"/>
      <w:b/>
      <w:sz w:val="20"/>
      <w:szCs w:val="24"/>
    </w:rPr>
  </w:style>
  <w:style w:type="character" w:styleId="FootnoteReference">
    <w:name w:val="footnote reference"/>
    <w:basedOn w:val="DefaultParagraphFont"/>
    <w:uiPriority w:val="99"/>
    <w:semiHidden/>
    <w:unhideWhenUsed/>
    <w:rsid w:val="008D3529"/>
    <w:rPr>
      <w:vertAlign w:val="superscript"/>
    </w:rPr>
  </w:style>
  <w:style w:type="character" w:styleId="CommentReference">
    <w:name w:val="annotation reference"/>
    <w:basedOn w:val="DefaultParagraphFont"/>
    <w:uiPriority w:val="99"/>
    <w:semiHidden/>
    <w:unhideWhenUsed/>
    <w:rsid w:val="008D3529"/>
    <w:rPr>
      <w:sz w:val="16"/>
      <w:szCs w:val="16"/>
    </w:rPr>
  </w:style>
  <w:style w:type="paragraph" w:styleId="BodyText">
    <w:name w:val="Body Text"/>
    <w:basedOn w:val="Normal"/>
    <w:link w:val="BodyTextChar"/>
    <w:uiPriority w:val="99"/>
    <w:semiHidden/>
    <w:unhideWhenUsed/>
    <w:rsid w:val="008D3529"/>
    <w:pPr>
      <w:framePr w:wrap="notBeside" w:hAnchor="text"/>
    </w:pPr>
  </w:style>
  <w:style w:type="character" w:customStyle="1" w:styleId="BodyTextChar">
    <w:name w:val="Body Text Char"/>
    <w:basedOn w:val="DefaultParagraphFont"/>
    <w:link w:val="BodyText"/>
    <w:uiPriority w:val="99"/>
    <w:semiHidden/>
    <w:rsid w:val="008D3529"/>
    <w:rPr>
      <w:rFonts w:cs="Times New Roman"/>
      <w:szCs w:val="24"/>
    </w:rPr>
  </w:style>
  <w:style w:type="character" w:styleId="Hyperlink">
    <w:name w:val="Hyperlink"/>
    <w:basedOn w:val="DefaultParagraphFont"/>
    <w:uiPriority w:val="99"/>
    <w:qFormat/>
    <w:rsid w:val="008D3529"/>
    <w:rPr>
      <w:b/>
      <w:color w:val="auto"/>
      <w:u w:val="single"/>
    </w:rPr>
  </w:style>
  <w:style w:type="character" w:styleId="Strong">
    <w:name w:val="Strong"/>
    <w:basedOn w:val="DefaultParagraphFont"/>
    <w:uiPriority w:val="99"/>
    <w:qFormat/>
    <w:rsid w:val="008D3529"/>
    <w:rPr>
      <w:b/>
      <w:bCs/>
    </w:rPr>
  </w:style>
  <w:style w:type="character" w:styleId="Emphasis">
    <w:name w:val="Emphasis"/>
    <w:basedOn w:val="DefaultParagraphFont"/>
    <w:uiPriority w:val="20"/>
    <w:qFormat/>
    <w:rsid w:val="008D3529"/>
    <w:rPr>
      <w:i/>
      <w:iCs/>
    </w:rPr>
  </w:style>
  <w:style w:type="paragraph" w:styleId="NormalWeb">
    <w:name w:val="Normal (Web)"/>
    <w:basedOn w:val="Normal"/>
    <w:uiPriority w:val="99"/>
    <w:semiHidden/>
    <w:unhideWhenUsed/>
    <w:rsid w:val="008D3529"/>
    <w:pPr>
      <w:spacing w:before="100" w:beforeAutospacing="1" w:afterAutospacing="1"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8D3529"/>
    <w:pPr>
      <w:framePr w:wrap="notBeside"/>
    </w:pPr>
    <w:rPr>
      <w:b/>
      <w:bCs/>
    </w:rPr>
  </w:style>
  <w:style w:type="character" w:customStyle="1" w:styleId="CommentSubjectChar">
    <w:name w:val="Comment Subject Char"/>
    <w:basedOn w:val="CommentTextChar"/>
    <w:link w:val="CommentSubject"/>
    <w:uiPriority w:val="99"/>
    <w:semiHidden/>
    <w:rsid w:val="008D3529"/>
    <w:rPr>
      <w:rFonts w:cs="Times New Roman"/>
      <w:b/>
      <w:bCs/>
      <w:sz w:val="20"/>
      <w:szCs w:val="20"/>
    </w:rPr>
  </w:style>
  <w:style w:type="paragraph" w:styleId="BalloonText">
    <w:name w:val="Balloon Text"/>
    <w:basedOn w:val="Normal"/>
    <w:link w:val="BalloonTextChar"/>
    <w:autoRedefine/>
    <w:uiPriority w:val="99"/>
    <w:semiHidden/>
    <w:unhideWhenUsed/>
    <w:qFormat/>
    <w:rsid w:val="008D3529"/>
    <w:pPr>
      <w:framePr w:wrap="notBeside" w:hAnchor="text"/>
      <w:pBdr>
        <w:top w:val="single" w:sz="12" w:space="1" w:color="auto"/>
        <w:left w:val="single" w:sz="12" w:space="2" w:color="auto"/>
        <w:bottom w:val="single" w:sz="12" w:space="1" w:color="auto"/>
        <w:right w:val="single" w:sz="12" w:space="2" w:color="auto"/>
      </w:pBdr>
      <w:spacing w:after="0" w:line="240" w:lineRule="auto"/>
    </w:pPr>
    <w:rPr>
      <w:rFonts w:ascii="Tahoma" w:eastAsia="Times New Roman" w:hAnsi="Tahoma" w:cs="Tahoma"/>
      <w:szCs w:val="16"/>
    </w:rPr>
  </w:style>
  <w:style w:type="character" w:customStyle="1" w:styleId="BalloonTextChar">
    <w:name w:val="Balloon Text Char"/>
    <w:link w:val="BalloonText"/>
    <w:uiPriority w:val="99"/>
    <w:semiHidden/>
    <w:rsid w:val="008D3529"/>
    <w:rPr>
      <w:rFonts w:ascii="Tahoma" w:eastAsia="Times New Roman" w:hAnsi="Tahoma" w:cs="Tahoma"/>
      <w:sz w:val="28"/>
      <w:szCs w:val="16"/>
    </w:rPr>
  </w:style>
  <w:style w:type="character" w:customStyle="1" w:styleId="ListParagraphChar">
    <w:name w:val="List Paragraph Char"/>
    <w:basedOn w:val="DefaultParagraphFont"/>
    <w:link w:val="ListParagraph"/>
    <w:uiPriority w:val="34"/>
    <w:rsid w:val="008D3529"/>
    <w:rPr>
      <w:szCs w:val="24"/>
    </w:rPr>
  </w:style>
  <w:style w:type="character" w:styleId="SubtleEmphasis">
    <w:name w:val="Subtle Emphasis"/>
    <w:basedOn w:val="DefaultParagraphFont"/>
    <w:uiPriority w:val="19"/>
    <w:qFormat/>
    <w:rsid w:val="008D3529"/>
    <w:rPr>
      <w:i/>
      <w:iCs/>
      <w:color w:val="404040" w:themeColor="text1" w:themeTint="BF"/>
    </w:rPr>
  </w:style>
  <w:style w:type="paragraph" w:styleId="TOCHeading">
    <w:name w:val="TOC Heading"/>
    <w:basedOn w:val="Heading1"/>
    <w:next w:val="Normal"/>
    <w:uiPriority w:val="39"/>
    <w:unhideWhenUsed/>
    <w:qFormat/>
    <w:rsid w:val="008D3529"/>
    <w:pPr>
      <w:spacing w:after="0" w:line="259" w:lineRule="auto"/>
      <w:outlineLvl w:val="9"/>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08148">
      <w:bodyDiv w:val="1"/>
      <w:marLeft w:val="0"/>
      <w:marRight w:val="0"/>
      <w:marTop w:val="0"/>
      <w:marBottom w:val="0"/>
      <w:divBdr>
        <w:top w:val="none" w:sz="0" w:space="0" w:color="auto"/>
        <w:left w:val="none" w:sz="0" w:space="0" w:color="auto"/>
        <w:bottom w:val="none" w:sz="0" w:space="0" w:color="auto"/>
        <w:right w:val="none" w:sz="0" w:space="0" w:color="auto"/>
      </w:divBdr>
      <w:divsChild>
        <w:div w:id="1512450219">
          <w:marLeft w:val="0"/>
          <w:marRight w:val="0"/>
          <w:marTop w:val="0"/>
          <w:marBottom w:val="0"/>
          <w:divBdr>
            <w:top w:val="none" w:sz="0" w:space="0" w:color="auto"/>
            <w:left w:val="none" w:sz="0" w:space="0" w:color="auto"/>
            <w:bottom w:val="none" w:sz="0" w:space="0" w:color="auto"/>
            <w:right w:val="none" w:sz="0" w:space="0" w:color="auto"/>
          </w:divBdr>
          <w:divsChild>
            <w:div w:id="1551068734">
              <w:marLeft w:val="0"/>
              <w:marRight w:val="0"/>
              <w:marTop w:val="0"/>
              <w:marBottom w:val="0"/>
              <w:divBdr>
                <w:top w:val="none" w:sz="0" w:space="0" w:color="auto"/>
                <w:left w:val="none" w:sz="0" w:space="0" w:color="auto"/>
                <w:bottom w:val="none" w:sz="0" w:space="0" w:color="auto"/>
                <w:right w:val="none" w:sz="0" w:space="0" w:color="auto"/>
              </w:divBdr>
            </w:div>
          </w:divsChild>
        </w:div>
        <w:div w:id="628363427">
          <w:marLeft w:val="0"/>
          <w:marRight w:val="0"/>
          <w:marTop w:val="0"/>
          <w:marBottom w:val="0"/>
          <w:divBdr>
            <w:top w:val="none" w:sz="0" w:space="0" w:color="auto"/>
            <w:left w:val="none" w:sz="0" w:space="0" w:color="auto"/>
            <w:bottom w:val="none" w:sz="0" w:space="0" w:color="auto"/>
            <w:right w:val="none" w:sz="0" w:space="0" w:color="auto"/>
          </w:divBdr>
          <w:divsChild>
            <w:div w:id="1543901376">
              <w:marLeft w:val="0"/>
              <w:marRight w:val="0"/>
              <w:marTop w:val="0"/>
              <w:marBottom w:val="0"/>
              <w:divBdr>
                <w:top w:val="none" w:sz="0" w:space="0" w:color="auto"/>
                <w:left w:val="none" w:sz="0" w:space="0" w:color="auto"/>
                <w:bottom w:val="none" w:sz="0" w:space="0" w:color="auto"/>
                <w:right w:val="none" w:sz="0" w:space="0" w:color="auto"/>
              </w:divBdr>
              <w:divsChild>
                <w:div w:id="11077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8798">
          <w:marLeft w:val="0"/>
          <w:marRight w:val="0"/>
          <w:marTop w:val="0"/>
          <w:marBottom w:val="0"/>
          <w:divBdr>
            <w:top w:val="none" w:sz="0" w:space="0" w:color="auto"/>
            <w:left w:val="none" w:sz="0" w:space="0" w:color="auto"/>
            <w:bottom w:val="none" w:sz="0" w:space="0" w:color="auto"/>
            <w:right w:val="none" w:sz="0" w:space="0" w:color="auto"/>
          </w:divBdr>
          <w:divsChild>
            <w:div w:id="1962955972">
              <w:marLeft w:val="0"/>
              <w:marRight w:val="0"/>
              <w:marTop w:val="0"/>
              <w:marBottom w:val="0"/>
              <w:divBdr>
                <w:top w:val="none" w:sz="0" w:space="0" w:color="auto"/>
                <w:left w:val="none" w:sz="0" w:space="0" w:color="auto"/>
                <w:bottom w:val="none" w:sz="0" w:space="0" w:color="auto"/>
                <w:right w:val="none" w:sz="0" w:space="0" w:color="auto"/>
              </w:divBdr>
              <w:divsChild>
                <w:div w:id="14515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1170">
          <w:marLeft w:val="0"/>
          <w:marRight w:val="0"/>
          <w:marTop w:val="0"/>
          <w:marBottom w:val="0"/>
          <w:divBdr>
            <w:top w:val="none" w:sz="0" w:space="0" w:color="auto"/>
            <w:left w:val="none" w:sz="0" w:space="0" w:color="auto"/>
            <w:bottom w:val="none" w:sz="0" w:space="0" w:color="auto"/>
            <w:right w:val="none" w:sz="0" w:space="0" w:color="auto"/>
          </w:divBdr>
          <w:divsChild>
            <w:div w:id="1422022090">
              <w:marLeft w:val="0"/>
              <w:marRight w:val="0"/>
              <w:marTop w:val="0"/>
              <w:marBottom w:val="0"/>
              <w:divBdr>
                <w:top w:val="none" w:sz="0" w:space="0" w:color="auto"/>
                <w:left w:val="none" w:sz="0" w:space="0" w:color="auto"/>
                <w:bottom w:val="none" w:sz="0" w:space="0" w:color="auto"/>
                <w:right w:val="none" w:sz="0" w:space="0" w:color="auto"/>
              </w:divBdr>
              <w:divsChild>
                <w:div w:id="11438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1648">
          <w:marLeft w:val="0"/>
          <w:marRight w:val="0"/>
          <w:marTop w:val="0"/>
          <w:marBottom w:val="0"/>
          <w:divBdr>
            <w:top w:val="none" w:sz="0" w:space="0" w:color="auto"/>
            <w:left w:val="none" w:sz="0" w:space="0" w:color="auto"/>
            <w:bottom w:val="none" w:sz="0" w:space="0" w:color="auto"/>
            <w:right w:val="none" w:sz="0" w:space="0" w:color="auto"/>
          </w:divBdr>
          <w:divsChild>
            <w:div w:id="825173952">
              <w:marLeft w:val="0"/>
              <w:marRight w:val="0"/>
              <w:marTop w:val="0"/>
              <w:marBottom w:val="0"/>
              <w:divBdr>
                <w:top w:val="none" w:sz="0" w:space="0" w:color="auto"/>
                <w:left w:val="none" w:sz="0" w:space="0" w:color="auto"/>
                <w:bottom w:val="none" w:sz="0" w:space="0" w:color="auto"/>
                <w:right w:val="none" w:sz="0" w:space="0" w:color="auto"/>
              </w:divBdr>
              <w:divsChild>
                <w:div w:id="1714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11219">
      <w:bodyDiv w:val="1"/>
      <w:marLeft w:val="0"/>
      <w:marRight w:val="0"/>
      <w:marTop w:val="0"/>
      <w:marBottom w:val="0"/>
      <w:divBdr>
        <w:top w:val="none" w:sz="0" w:space="0" w:color="auto"/>
        <w:left w:val="none" w:sz="0" w:space="0" w:color="auto"/>
        <w:bottom w:val="none" w:sz="0" w:space="0" w:color="auto"/>
        <w:right w:val="none" w:sz="0" w:space="0" w:color="auto"/>
      </w:divBdr>
      <w:divsChild>
        <w:div w:id="1756248057">
          <w:marLeft w:val="0"/>
          <w:marRight w:val="0"/>
          <w:marTop w:val="0"/>
          <w:marBottom w:val="0"/>
          <w:divBdr>
            <w:top w:val="none" w:sz="0" w:space="0" w:color="auto"/>
            <w:left w:val="none" w:sz="0" w:space="0" w:color="auto"/>
            <w:bottom w:val="none" w:sz="0" w:space="0" w:color="auto"/>
            <w:right w:val="none" w:sz="0" w:space="0" w:color="auto"/>
          </w:divBdr>
        </w:div>
        <w:div w:id="838736413">
          <w:marLeft w:val="0"/>
          <w:marRight w:val="0"/>
          <w:marTop w:val="240"/>
          <w:marBottom w:val="0"/>
          <w:divBdr>
            <w:top w:val="none" w:sz="0" w:space="0" w:color="auto"/>
            <w:left w:val="none" w:sz="0" w:space="0" w:color="auto"/>
            <w:bottom w:val="none" w:sz="0" w:space="0" w:color="auto"/>
            <w:right w:val="none" w:sz="0" w:space="0" w:color="auto"/>
          </w:divBdr>
          <w:divsChild>
            <w:div w:id="1947542468">
              <w:marLeft w:val="0"/>
              <w:marRight w:val="0"/>
              <w:marTop w:val="0"/>
              <w:marBottom w:val="0"/>
              <w:divBdr>
                <w:top w:val="none" w:sz="0" w:space="0" w:color="auto"/>
                <w:left w:val="none" w:sz="0" w:space="0" w:color="auto"/>
                <w:bottom w:val="none" w:sz="0" w:space="0" w:color="auto"/>
                <w:right w:val="none" w:sz="0" w:space="0" w:color="auto"/>
              </w:divBdr>
              <w:divsChild>
                <w:div w:id="19067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1171">
          <w:marLeft w:val="0"/>
          <w:marRight w:val="0"/>
          <w:marTop w:val="240"/>
          <w:marBottom w:val="0"/>
          <w:divBdr>
            <w:top w:val="none" w:sz="0" w:space="0" w:color="auto"/>
            <w:left w:val="none" w:sz="0" w:space="0" w:color="auto"/>
            <w:bottom w:val="none" w:sz="0" w:space="0" w:color="auto"/>
            <w:right w:val="none" w:sz="0" w:space="0" w:color="auto"/>
          </w:divBdr>
          <w:divsChild>
            <w:div w:id="451679303">
              <w:marLeft w:val="0"/>
              <w:marRight w:val="0"/>
              <w:marTop w:val="0"/>
              <w:marBottom w:val="0"/>
              <w:divBdr>
                <w:top w:val="none" w:sz="0" w:space="0" w:color="auto"/>
                <w:left w:val="none" w:sz="0" w:space="0" w:color="auto"/>
                <w:bottom w:val="none" w:sz="0" w:space="0" w:color="auto"/>
                <w:right w:val="none" w:sz="0" w:space="0" w:color="auto"/>
              </w:divBdr>
              <w:divsChild>
                <w:div w:id="16267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79421">
          <w:marLeft w:val="0"/>
          <w:marRight w:val="0"/>
          <w:marTop w:val="240"/>
          <w:marBottom w:val="0"/>
          <w:divBdr>
            <w:top w:val="none" w:sz="0" w:space="0" w:color="auto"/>
            <w:left w:val="none" w:sz="0" w:space="0" w:color="auto"/>
            <w:bottom w:val="none" w:sz="0" w:space="0" w:color="auto"/>
            <w:right w:val="none" w:sz="0" w:space="0" w:color="auto"/>
          </w:divBdr>
          <w:divsChild>
            <w:div w:id="1902668823">
              <w:marLeft w:val="0"/>
              <w:marRight w:val="0"/>
              <w:marTop w:val="0"/>
              <w:marBottom w:val="0"/>
              <w:divBdr>
                <w:top w:val="none" w:sz="0" w:space="0" w:color="auto"/>
                <w:left w:val="none" w:sz="0" w:space="0" w:color="auto"/>
                <w:bottom w:val="none" w:sz="0" w:space="0" w:color="auto"/>
                <w:right w:val="none" w:sz="0" w:space="0" w:color="auto"/>
              </w:divBdr>
              <w:divsChild>
                <w:div w:id="20018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80192">
          <w:marLeft w:val="0"/>
          <w:marRight w:val="0"/>
          <w:marTop w:val="240"/>
          <w:marBottom w:val="0"/>
          <w:divBdr>
            <w:top w:val="none" w:sz="0" w:space="0" w:color="auto"/>
            <w:left w:val="none" w:sz="0" w:space="0" w:color="auto"/>
            <w:bottom w:val="none" w:sz="0" w:space="0" w:color="auto"/>
            <w:right w:val="none" w:sz="0" w:space="0" w:color="auto"/>
          </w:divBdr>
          <w:divsChild>
            <w:div w:id="790246763">
              <w:marLeft w:val="0"/>
              <w:marRight w:val="0"/>
              <w:marTop w:val="0"/>
              <w:marBottom w:val="0"/>
              <w:divBdr>
                <w:top w:val="none" w:sz="0" w:space="0" w:color="auto"/>
                <w:left w:val="none" w:sz="0" w:space="0" w:color="auto"/>
                <w:bottom w:val="none" w:sz="0" w:space="0" w:color="auto"/>
                <w:right w:val="none" w:sz="0" w:space="0" w:color="auto"/>
              </w:divBdr>
              <w:divsChild>
                <w:div w:id="9214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522">
          <w:marLeft w:val="0"/>
          <w:marRight w:val="0"/>
          <w:marTop w:val="240"/>
          <w:marBottom w:val="0"/>
          <w:divBdr>
            <w:top w:val="none" w:sz="0" w:space="0" w:color="auto"/>
            <w:left w:val="none" w:sz="0" w:space="0" w:color="auto"/>
            <w:bottom w:val="none" w:sz="0" w:space="0" w:color="auto"/>
            <w:right w:val="none" w:sz="0" w:space="0" w:color="auto"/>
          </w:divBdr>
          <w:divsChild>
            <w:div w:id="198053275">
              <w:marLeft w:val="0"/>
              <w:marRight w:val="0"/>
              <w:marTop w:val="0"/>
              <w:marBottom w:val="0"/>
              <w:divBdr>
                <w:top w:val="none" w:sz="0" w:space="0" w:color="auto"/>
                <w:left w:val="none" w:sz="0" w:space="0" w:color="auto"/>
                <w:bottom w:val="none" w:sz="0" w:space="0" w:color="auto"/>
                <w:right w:val="none" w:sz="0" w:space="0" w:color="auto"/>
              </w:divBdr>
              <w:divsChild>
                <w:div w:id="9228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4658">
          <w:marLeft w:val="0"/>
          <w:marRight w:val="0"/>
          <w:marTop w:val="240"/>
          <w:marBottom w:val="0"/>
          <w:divBdr>
            <w:top w:val="none" w:sz="0" w:space="0" w:color="auto"/>
            <w:left w:val="none" w:sz="0" w:space="0" w:color="auto"/>
            <w:bottom w:val="none" w:sz="0" w:space="0" w:color="auto"/>
            <w:right w:val="none" w:sz="0" w:space="0" w:color="auto"/>
          </w:divBdr>
          <w:divsChild>
            <w:div w:id="1175026324">
              <w:marLeft w:val="0"/>
              <w:marRight w:val="0"/>
              <w:marTop w:val="0"/>
              <w:marBottom w:val="0"/>
              <w:divBdr>
                <w:top w:val="none" w:sz="0" w:space="0" w:color="auto"/>
                <w:left w:val="none" w:sz="0" w:space="0" w:color="auto"/>
                <w:bottom w:val="none" w:sz="0" w:space="0" w:color="auto"/>
                <w:right w:val="none" w:sz="0" w:space="0" w:color="auto"/>
              </w:divBdr>
              <w:divsChild>
                <w:div w:id="20408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283">
          <w:marLeft w:val="0"/>
          <w:marRight w:val="0"/>
          <w:marTop w:val="240"/>
          <w:marBottom w:val="0"/>
          <w:divBdr>
            <w:top w:val="none" w:sz="0" w:space="0" w:color="auto"/>
            <w:left w:val="none" w:sz="0" w:space="0" w:color="auto"/>
            <w:bottom w:val="none" w:sz="0" w:space="0" w:color="auto"/>
            <w:right w:val="none" w:sz="0" w:space="0" w:color="auto"/>
          </w:divBdr>
          <w:divsChild>
            <w:div w:id="85465045">
              <w:marLeft w:val="0"/>
              <w:marRight w:val="0"/>
              <w:marTop w:val="0"/>
              <w:marBottom w:val="0"/>
              <w:divBdr>
                <w:top w:val="none" w:sz="0" w:space="0" w:color="auto"/>
                <w:left w:val="none" w:sz="0" w:space="0" w:color="auto"/>
                <w:bottom w:val="none" w:sz="0" w:space="0" w:color="auto"/>
                <w:right w:val="none" w:sz="0" w:space="0" w:color="auto"/>
              </w:divBdr>
              <w:divsChild>
                <w:div w:id="8889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7622">
          <w:marLeft w:val="0"/>
          <w:marRight w:val="0"/>
          <w:marTop w:val="240"/>
          <w:marBottom w:val="0"/>
          <w:divBdr>
            <w:top w:val="none" w:sz="0" w:space="0" w:color="auto"/>
            <w:left w:val="none" w:sz="0" w:space="0" w:color="auto"/>
            <w:bottom w:val="none" w:sz="0" w:space="0" w:color="auto"/>
            <w:right w:val="none" w:sz="0" w:space="0" w:color="auto"/>
          </w:divBdr>
          <w:divsChild>
            <w:div w:id="1403214047">
              <w:marLeft w:val="0"/>
              <w:marRight w:val="0"/>
              <w:marTop w:val="0"/>
              <w:marBottom w:val="0"/>
              <w:divBdr>
                <w:top w:val="none" w:sz="0" w:space="0" w:color="auto"/>
                <w:left w:val="none" w:sz="0" w:space="0" w:color="auto"/>
                <w:bottom w:val="none" w:sz="0" w:space="0" w:color="auto"/>
                <w:right w:val="none" w:sz="0" w:space="0" w:color="auto"/>
              </w:divBdr>
              <w:divsChild>
                <w:div w:id="18288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95EAC-0357-47DA-A79D-7CD0DC51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2019-11-03T20:38:00Z</dcterms:created>
  <dcterms:modified xsi:type="dcterms:W3CDTF">2019-11-03T20:38:00Z</dcterms:modified>
</cp:coreProperties>
</file>